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 references coded [ 0.14%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When nations breach agreed international norms, the countries who espouse those norms must be convinced to band together to enforce them.</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We will pursue a trade agenda that includes an ambitious and balanced Doha multilateral trade agreement, bilateral and multilateral trade agreements that reflect our values and interests, and engagement with the transpacific partnership countries to shape a regional agreement with high standards.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Most nations are parties to international agreements that recognize this commonality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3 references coded [ 0.35%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Risk reduction on a global scale will require effective law enforcement; internationally agreed norms of state behavior; measures that build confidence and enhance transparency; active, informed diplomacy; and appropriate deterrence~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These events have not been matched by clearly agreed-upon norms for acceptable state behavior in cyberspace~</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Building broad international understanding about cyberspace norms of behavior must begin with clear agreement among like-minded countries~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5 references coded [ 0.06%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Agreements,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agreement</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agreement</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New agreements between governments and industry may need to be documented to enable international information sharing as well as strategic and operational collaboration</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mutually agreed accountability,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[ 0.31% Coverage]</w:t>
      </w:r>
    </w:p>
    <w:p>
      <w:pPr>
        <w:pStyle w:val="BodyText"/>
        <w:bidi w:val="0"/>
        <w:spacing w:before="0" w:after="0"/>
        <w:ind w:hanging="0" w:left="150" w:right="150"/>
        <w:jc w:val="left"/>
        <w:rPr>
          <w:shd w:fill="D3D3D3" w:val="clear"/>
        </w:rPr>
      </w:pPr>
      <w:r>
        <w:rPr>
          <w:shd w:fill="D3D3D3" w:val="clear"/>
        </w:rPr>
        <w:t>Reference 1 - 0.31% Coverage</w:t>
      </w:r>
    </w:p>
    <w:p>
      <w:pPr>
        <w:pStyle w:val="BodyText"/>
        <w:bidi w:val="0"/>
        <w:spacing w:before="0" w:after="0"/>
        <w:jc w:val="left"/>
        <w:rPr/>
      </w:pPr>
      <w:r>
        <w:rPr/>
        <w:t>These actions violate numerous agreements that Russia has signed in which it committed to act in accordance with international norms, including the UN Charter, Helsinki Accords, Russia-NATO Founding Act, Budapest Memorandum, and the Intermediate-Range Nuclear Forces Treaty.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5 references coded [ 0.73%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Our efforts to remove and destroy chemical weapons in Libya and Syria reflect our leadership in implementation and progress toward universalization of the Chemical Weapons Convention.</w:t>
      </w:r>
    </w:p>
    <w:p>
      <w:pPr>
        <w:pStyle w:val="BodyText"/>
        <w:bidi w:val="0"/>
        <w:spacing w:before="0" w:after="0"/>
        <w:ind w:hanging="0" w:left="150" w:right="150"/>
        <w:jc w:val="left"/>
        <w:rPr>
          <w:shd w:fill="D3D3D3" w:val="clear"/>
        </w:rPr>
      </w:pPr>
      <w:r>
        <w:rPr>
          <w:shd w:fill="D3D3D3" w:val="clear"/>
        </w:rPr>
        <w:t>Reference 2 - 0.38% Coverage</w:t>
      </w:r>
    </w:p>
    <w:p>
      <w:pPr>
        <w:pStyle w:val="BodyText"/>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 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We have already made significant progress guided in part through global consensus and mobilization around the Millennium Development Goals.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America will therefore continue to work with allies and partners toward a comprehensive agreement with Iran that resolves the world’s concerns with the Iranian nuclear program.</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we will keep working with all governments that are interested in cooperating with us in practical ways to reinforce the principles enumerated in the Inter-American Democratic Charter.</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 references coded [ 0.13%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ADOPT NEW TRADE AND INVESTMENT AGREEMENTS AND MODERNIZE EXISTING ONES: The United States will pursue bilateral trade and investment agreements with countries that commit to fair and reciprocal trade and will modernize existing agreements to ensure they are consistent with those principles.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Agreements must adhere to high standards in intellectual property, digital trade, agriculture, labor, and the environment.</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[ 0.33%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The Administration will urge effective use of existing international tools like the United Nations Convention Against Transnational Organized Crime and the G7 24/7 Network Points of Contact.</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Finally, we will work to expand the international consensus favoring the Convention on Cybercrime of the Council of Europe (Budapest Convention), including by supporting greater adoption of the convention.</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[ 0.27% Coverage]</w:t>
      </w:r>
    </w:p>
    <w:p>
      <w:pPr>
        <w:pStyle w:val="BodyText"/>
        <w:bidi w:val="0"/>
        <w:spacing w:before="0" w:after="0"/>
        <w:ind w:hanging="0" w:left="150" w:right="150"/>
        <w:jc w:val="left"/>
        <w:rPr>
          <w:shd w:fill="D3D3D3" w:val="clear"/>
        </w:rPr>
      </w:pPr>
      <w:r>
        <w:rPr>
          <w:shd w:fill="D3D3D3" w:val="clear"/>
        </w:rPr>
        <w:t>Reference 1 - 0.27% Coverage</w:t>
      </w:r>
    </w:p>
    <w:p>
      <w:pPr>
        <w:pStyle w:val="BodyText"/>
        <w:bidi w:val="0"/>
        <w:spacing w:before="0" w:after="0"/>
        <w:jc w:val="left"/>
        <w:rPr/>
      </w:pPr>
      <w:r>
        <w:rPr/>
        <w:t>Fortify the Trans-Atlantic NATO Alliance. A strong and free Europe, bound by shared principles of democracy, national sovereignty, and commitment to Article 5 of the North Atlantic Treaty is vital to our security.</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14 references coded [ 0.93%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Recognizing we have to move beyond traditional Free Trade Agreements, we are charting new economic arrangements to deepen economic engagement with our partners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As Americans, we must all agree that the people’s verdict, as expressed in elections, must be respected and protected.</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141 countries expressed support at the United Nations General Assembly for a resolution condemning Russia’s unprovoked aggression against Ukraine.</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 xml:space="preserve">This is not about a struggle between the West and Russia. It is about the fundamental principles of the UN Charter, which </w:t>
        <w:br/>
        <w:t xml:space="preserve">NATIONAL SECURITY STRATEGY 25 </w:t>
        <w:br/>
        <w:t xml:space="preserve">      </w:t>
        <w:br/>
        <w:t>Russia is a party to, particularly respect for sovereignty, territorial integrity, and the prohibition against acquiring territory through war.</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Building on the Leaders’ Summit on Climate, Major Economies Forum, and Paris Agreement process, we are helping countries meet and strengthen their nationally determined contributions, reduce emissions, tackle methane and other super pollutants, promote carbon dioxide removals, adapt to the most severe impacts of climate change, and end deforestation over the next decade.</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Our steel agreement with the EU, the first-ever arrangement on steel and aluminum to address both carbon intensity and global overcapacity, is a model for future climate-focused trade mechanisms.</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While we believe that many of these reforms can be agreed upon and implemented over the lifetime of this administration, we also recognize that ultimately some may fall short because other countries do not share our belief in greater transparency and sharing critical data with the international community.</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Working with partners and allies, we will strengthen the Biological Weapons Convention to deter state biological warfare capabilities; prevent terrorist acquisition or use of biological weapons; and reinforce international norms against biological weapons’ development and use.</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We will support the Organization for the Prohibition of Chemical Weapons and the Biological Weapons Convention and reinforce norms against the possession and use of chemical and biological weapons.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We will also use trade tools to advance climate priorities, as we are doing with the landmark steel and aluminum agreement with the EU.</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In addition, we underscore our support for the Good Friday Agreement which is the bedrock of peace, stability, and prosperity in Northern Ireland.</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Fifth, the United States will always promote human rights and the values enshrined in the UN Charter.</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As President Biden stated during his visit to the West Bank in July 2022, “Two States along the 1967 lines, with mutually agreed swaps, remain the best way to achieve equal measure of security, prosperity, freedom, and democracy for Palestinians as well as Israelis.”</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We must build resilience to and mitigate climate change in the region, including through agreements to reduce emissions and more cross-Arctic research collaboration.</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[ 0.38%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have supported the expansion of the Budapest Convention on Cybercrime and other global efforts to make cyberspace more secure.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We will do so by demonstrating to economies and societies the value of openness and jointly imposing consequences for behavior that runs counter to agreed norms of state behavior.</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The Indo-Pacific Economic Framework for Prosperity (IPEF) and the Americas Partnership for Economic Prosperity (APEP) create opportunities for the United States and regional governments to collaborate in setting rules of the road for the digital economy, including facilitating the development of technical standards, mechanisms to enable cross-border data flows that protect privacy while avoiding strict data localization requirements, and actions to foster supply chain security and resilience.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