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[ 0.05%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Most nations are parties to international agreements that recognize this commonality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3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internationally agreed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clearly agreed-upon norms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must begin with clear agreement among like-minded countries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[ 0.31% Coverage]</w:t>
      </w:r>
    </w:p>
    <w:p>
      <w:pPr>
        <w:pStyle w:val="TextBody"/>
        <w:bidi w:val="0"/>
        <w:spacing w:before="113" w:after="113"/>
        <w:ind w:left="113" w:right="113" w:hanging="0"/>
        <w:jc w:val="left"/>
        <w:rPr>
          <w:highlight w:val="lightGray"/>
        </w:rPr>
      </w:pPr>
      <w:r>
        <w:rPr>
          <w:highlight w:val="lightGray"/>
        </w:rPr>
        <w:t>Reference 1 - 0.31% Coverage</w:t>
      </w:r>
    </w:p>
    <w:p>
      <w:pPr>
        <w:pStyle w:val="TextBody"/>
        <w:bidi w:val="0"/>
        <w:spacing w:before="0" w:after="0"/>
        <w:jc w:val="left"/>
        <w:rPr/>
      </w:pPr>
      <w:r>
        <w:rPr/>
        <w:t>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[ 0.73%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Our efforts to remove and destroy chemical weapons in Libya and Syria reflect our leadership in implementation and progress toward universalization of the Chemical Weapons Convention.</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 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have already made significant progress guided in part through global consensus and mobilization around the Millennium Development Goals.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