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2 references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desired behaviors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Behavior</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3 references coded [ 0.10%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America must demonstrate through words and deeds the resilience of our values and Constitution</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Nations must have incentives to behave responsibly,</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But when our overtures are rebuffed, we must lead the international community in using public and private diplomacy, and drawing on incentives and disincentives, in an effort to change repressive behavior.</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1 reference coded [ 0.04%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encourage responsible behavior</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20 references coded [ 0.45%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widely-recognized illegal behavior</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norms of behavior,</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responsible behavior</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state behavior;</w:t>
      </w:r>
    </w:p>
    <w:p>
      <w:pPr>
        <w:pStyle w:val="TextBody"/>
        <w:bidi w:val="0"/>
        <w:spacing w:before="113" w:after="113"/>
        <w:ind w:left="113" w:right="113" w:hanging="0"/>
        <w:jc w:val="left"/>
        <w:rPr>
          <w:highlight w:val="lightGray"/>
        </w:rPr>
      </w:pPr>
      <w:r>
        <w:rPr>
          <w:highlight w:val="lightGray"/>
        </w:rPr>
        <w:t>Reference 5 - 0.11% Coverage</w:t>
      </w:r>
    </w:p>
    <w:p>
      <w:pPr>
        <w:pStyle w:val="TextBody"/>
        <w:bidi w:val="0"/>
        <w:spacing w:before="0" w:after="0"/>
        <w:jc w:val="left"/>
        <w:rPr/>
      </w:pPr>
      <w:r>
        <w:rPr/>
        <w:t>Politically, we must help to maintain an environment of respect for technical infrastructure, so disputes do not become excuses to disrupt and degrade networks~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behavior,</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acceptable state behavior in cyberspace~</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what constitutes acceptable behavior,</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shared understandings about acceptable behavior</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guiding state behavior</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behavior</w:t>
      </w:r>
    </w:p>
    <w:p>
      <w:pPr>
        <w:pStyle w:val="TextBody"/>
        <w:bidi w:val="0"/>
        <w:spacing w:before="113" w:after="113"/>
        <w:ind w:left="113" w:right="113" w:hanging="0"/>
        <w:jc w:val="left"/>
        <w:rPr>
          <w:highlight w:val="lightGray"/>
        </w:rPr>
      </w:pPr>
      <w:r>
        <w:rPr>
          <w:highlight w:val="lightGray"/>
        </w:rPr>
        <w:t>Reference 12 - 0.02% Coverage</w:t>
      </w:r>
    </w:p>
    <w:p>
      <w:pPr>
        <w:pStyle w:val="TextBody"/>
        <w:bidi w:val="0"/>
        <w:spacing w:before="0" w:after="0"/>
        <w:jc w:val="left"/>
        <w:rPr/>
      </w:pPr>
      <w:r>
        <w:rPr/>
        <w:t>international behavior</w:t>
      </w:r>
    </w:p>
    <w:p>
      <w:pPr>
        <w:pStyle w:val="TextBody"/>
        <w:bidi w:val="0"/>
        <w:spacing w:before="113" w:after="113"/>
        <w:ind w:left="113" w:right="113" w:hanging="0"/>
        <w:jc w:val="left"/>
        <w:rPr>
          <w:highlight w:val="lightGray"/>
        </w:rPr>
      </w:pPr>
      <w:r>
        <w:rPr>
          <w:highlight w:val="lightGray"/>
        </w:rPr>
        <w:t>Reference 13 - 0.03% Coverage</w:t>
      </w:r>
    </w:p>
    <w:p>
      <w:pPr>
        <w:pStyle w:val="TextBody"/>
        <w:bidi w:val="0"/>
        <w:spacing w:before="0" w:after="0"/>
        <w:jc w:val="left"/>
        <w:rPr/>
      </w:pPr>
      <w:r>
        <w:rPr/>
        <w:t>responsible behavior in cyberspace</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behavior</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behavior~</w:t>
      </w:r>
    </w:p>
    <w:p>
      <w:pPr>
        <w:pStyle w:val="TextBody"/>
        <w:bidi w:val="0"/>
        <w:spacing w:before="113" w:after="113"/>
        <w:ind w:left="113" w:right="113" w:hanging="0"/>
        <w:jc w:val="left"/>
        <w:rPr>
          <w:highlight w:val="lightGray"/>
        </w:rPr>
      </w:pPr>
      <w:r>
        <w:rPr>
          <w:highlight w:val="lightGray"/>
        </w:rPr>
        <w:t>Reference 16 - 0.02% Coverage</w:t>
      </w:r>
    </w:p>
    <w:p>
      <w:pPr>
        <w:pStyle w:val="TextBody"/>
        <w:bidi w:val="0"/>
        <w:spacing w:before="0" w:after="0"/>
        <w:jc w:val="left"/>
        <w:rPr/>
      </w:pPr>
      <w:r>
        <w:rPr/>
        <w:t>encourage responsible behavior</w:t>
      </w:r>
    </w:p>
    <w:p>
      <w:pPr>
        <w:pStyle w:val="TextBody"/>
        <w:bidi w:val="0"/>
        <w:spacing w:before="113" w:after="113"/>
        <w:ind w:left="113" w:right="113" w:hanging="0"/>
        <w:jc w:val="left"/>
        <w:rPr>
          <w:highlight w:val="lightGray"/>
        </w:rPr>
      </w:pPr>
      <w:r>
        <w:rPr>
          <w:highlight w:val="lightGray"/>
        </w:rPr>
        <w:t>Reference 17 - 0.03% Coverage</w:t>
      </w:r>
    </w:p>
    <w:p>
      <w:pPr>
        <w:pStyle w:val="TextBody"/>
        <w:bidi w:val="0"/>
        <w:spacing w:before="0" w:after="0"/>
        <w:jc w:val="left"/>
        <w:rPr/>
      </w:pPr>
      <w:r>
        <w:rPr/>
        <w:t>behave as responsible stakeholders</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behavior</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Criminal behavior</w:t>
      </w:r>
    </w:p>
    <w:p>
      <w:pPr>
        <w:pStyle w:val="TextBody"/>
        <w:bidi w:val="0"/>
        <w:spacing w:before="113" w:after="113"/>
        <w:ind w:left="113" w:right="113" w:hanging="0"/>
        <w:jc w:val="left"/>
        <w:rPr>
          <w:highlight w:val="lightGray"/>
        </w:rPr>
      </w:pPr>
      <w:r>
        <w:rPr>
          <w:highlight w:val="lightGray"/>
        </w:rPr>
        <w:t>Reference 20 - 0.02% Coverage</w:t>
      </w:r>
    </w:p>
    <w:p>
      <w:pPr>
        <w:pStyle w:val="TextBody"/>
        <w:bidi w:val="0"/>
        <w:spacing w:before="0" w:after="0"/>
        <w:jc w:val="left"/>
        <w:rPr/>
      </w:pPr>
      <w:r>
        <w:rPr/>
        <w:t>escalatory behavior~</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 reference coded [ 0.03%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The United States will work with like-minded nations to foster norms regarding behavior in domains where an attack on one nation has consequences for all—especially in space and cyberspace.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