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desired behaviors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Nations must have incentives to behave responsibly,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encourage responsible behavior</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20 references coded [ 0.45%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widely-recognized illegal behavior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norms of behavior,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responsible behavior</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state behavior;</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Politically, we must help to maintain an environment of respect for technical infrastructure, so disputes do not become excuses to disrupt and degrade networks~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acceptable state behavior in cyberspace~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what constitutes acceptable behavior,</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shared understandings about acceptable behavior</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guiding state behavior</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international behavior</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responsible behavior in cyberspace</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encourage responsible behavior</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behave as responsible stakeholders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behavior</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Criminal behavior</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escalatory behavior~</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will work with like-minded nations to foster norms regarding behavior in domains where an attack on one nation has consequences for all—especially in space and cyberspace.</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8 references coded [ 0.64%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 xml:space="preserve">The international community’s ability to respond effectively to these and other risks is helped or hindered by </w:t>
        <w:br/>
        <w:t xml:space="preserve">★ 1 ★ </w:t>
        <w:br/>
        <w:t xml:space="preserve">NATIONAL SECURITY STRATEGY </w:t>
        <w:br/>
        <w:t>the behaviors of major powers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Collective action is needed to assure access to the shared spaces—cyber, space, air, and oceans—where the dangerous behaviors of some threaten us all.</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arteries of the global economy and civil society, and access is at risk due to increased competition and provocative behaviors. Therefore, we will continue to promote rules for responsible behavior while making sure we have the capabilities to assure access to these shared spaces.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Globally, cybersecurity requires that long-standing norms of international behavior</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We insist on safe and responsible behaviors in the sky and at sea.</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On territorial disputes, particularly in Asia, we denounce coercion and assertive behaviors that threaten escalation.</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We will protect the free movement of information and work to prevent the risky behavior that led to the recent crisis, while addressing resurgent economic forces, from state capitalism to market-distorting free-riding.</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6 references coded [ 0.79%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lead the way in developing and promulgating norms of state behavior in cyberspace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Norms of State Behavior in Cyberspace</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Endorsement of, and adherence to, specific norms of state behavior in cyberspace could further build mutual confidence that nations are not threatening each other with crippling cyber attacks.</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The United States Government has identified several peacetime norms of state behavior in cyberspace and will seek international support for these norms: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