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7 references coded [ 0.35%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country possesses the attributes that have supported our leadership for decades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 has always been a beacon to the peoples of the world when we ensure that the light of America’s example burns bright.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belief that our own interests are bound to the interests of those beyond our borders will continue to guide our engagement with nations and people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believes certain values are universal and will work to promote them worldwide.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was founded upon a belief in these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It’s easy to forget that, when this war began, we were united, bound together by the fresh memory of a horrific attack and by the determination to defend our homeland and the values we hold dear. I refuse to accept the notion that we cannot summon that unity again. I believe with every fiber of my being that we, as Americans, can still come together behind a common purpose, for our values are not simply words written into parchment. They are a creed that calls us together and that has carried us through the darkest of storms as one nation, as one people.”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continue to draw strength from those founding documents that established the creed that binds us together. We, too, can demonstrate the capability and courage to pursue a more perfect union and—in doing so—renew American leadership in the world.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Security Strategy CLEAN - § 3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Finally, I believe that America leads best when we draw upon our hopes rather than our fears.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 believe this is an achievable agenda, especially if we proceed with confidence and if we restore the bipartisan center that has been a pillar of strength for American foreign policy in decades past.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believe trade agreements have economic and strategic benefits for the United States.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