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collectively circumscribe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[ 0.24%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action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12 references coded [ 1.26%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systems as essential to the national and collective interest~</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International cybersecurity standardization, and its voluntary and consensus-based processes, serves collective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