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consensus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consensus-based measures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[ 0.13%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When nations breach agreed international norms, the countries who espouse those norms must be convinced to band together to enforce them</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united through their commitment to shared values.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13 references coded [ 0.68%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to bring more of the world into the information age and into the consensus of states that seek to preserve the Internet and its core characteristics~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To bridge that gap, we will work to build a consensus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work internationally to forge consensus regarding how norms of behavior apply to cyberspace,</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build consensus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build consensus around</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build consensus among states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consensus for open, interoperable, secure, and reliable networks~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consensus-based</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voluntary and consensus-based processes,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consolidate regional and international consensus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consensus building,</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The United States will pursue a broad international consensus of states that recognize the importance of respect for property and network stability,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