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consensus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consensus-based measures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[ 0.17%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Success depends upon broad consensus and concerted action,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13 references coded [ 0.68%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to bring more of the world into the information age and into the consensus of states that seek to preserve the Internet and its core characteristics~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To bridge that gap, we will work to build a consensus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build consensus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 consensus around</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build consensus among states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consensus for open, interoperable, secure, and reliable networks~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consensus-based</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voluntary and consensus-based processes,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consolidate regional and international consensus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consensus building,</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United States will pursue a broad international consensus of states that recognize the importance of respect for property and network stability,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6 references coded [ 0.52%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are building on our own energy security—and the ground-breaking commitment we made with China to reduce greenhouse gas emissions—to cement an international consensus on arresting climate change.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As Americans, we will always have our differences, but what unites us is the national consensus that American global leadership remains indispensable.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 strong consensus endures across our political spectrum that the question is not whether America will lead, but how we will lead into the future.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American leadership is always most powerful when we are able to forge common ground at home around key national priorities.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We have already made significant progress guided in part through global consensus and mobilization around the Millennium Development Goals.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affirm our support for the international consensus that governments have the responsibility to protect civilians from mass atrocities and that this responsibility passes to the broader international community when those governments manifestly fail to protect their populations.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 references coded [ 0.50%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Just as in the kinetic realm, international consensus about what level of cyber attack could be considered an armed attack under international law does not yet exist. However, the United States has been successful in building international consensus that international law does apply to state activities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