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17 references coded [ 0.71%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Wars over ideology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This will allow America to leverage our engagement abroad on behalf of a world in which individuals enjoy more freedom and opportunity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advance democracy and human rights; and ultimately position ourselves to better address key global challenges by growing the ranks of prosperous, capable, and democratic states that can be our partners in the decades ahead.</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[ 0.26%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spread extremist ideologies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[ 0.32%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For the international community, they have provided the foundation for a new global marketplace of ideas,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receive and impart information and ideas through any medium</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improvements in digital translation open to millions a wealth of knowledge, new ideas, and rich debates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ideas,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As these ideas develop</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exchange ideas~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ideas and opinions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encourages the exchange of ideas among people around the world</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These ideals are central to preserving the cyberspace we know,</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