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And we will institutionalize transparent practices in international aid flows, international banking and tax policy, and private sector engagement around natural resources to make it harder for officials to steal and to strengthen the efforts of citizens to hold their governments accountable.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Nuclear Security Summit process has catalyzed a global effort to lock down vulnerable nuclear materials and institutionalize nuclear security best practices.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[ 0.67%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 xml:space="preserve">Incorporate cyber awareness </w:t>
        <w:br/>
        <w:t xml:space="preserve">into DoD institutional culture: The Department will adapt its institutional culture so individuals at every level are knowledgeable about the cyberspace domain and </w:t>
        <w:br/>
        <w:t>can incorporate that knowledge into their day-to-day activities.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