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13 references coded [ 0.68%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They continue to collaborate bilaterally, multilaterally, and internationally</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Multi-stakeholder Governance: Internet governance efforts must not be limited to governments, but should include all appropriate stakeholders~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as many stakeholders as possible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multilateral, and multistakeholder organizations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multi-stakeholder environment~</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upholding its multi-stakeholder character,</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multi-stakeholder</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multi-stakeholder</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Promote and enhance multi-stakeholder venues for the discussion of Internet governance issues.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these conversations must take place in a multi-stakeholder manner;</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n recent years, we have helped make this work a priority at multilateral fora such as the OAS, APEC, and the U~N~</w:t>
      </w:r>
    </w:p>
    <w:p>
      <w:pPr>
        <w:pStyle w:val="TextBody"/>
        <w:bidi w:val="0"/>
        <w:spacing w:before="113" w:after="113"/>
        <w:ind w:left="113" w:right="113" w:hanging="0"/>
        <w:jc w:val="left"/>
        <w:rPr>
          <w:highlight w:val="lightGray"/>
        </w:rPr>
      </w:pPr>
      <w:r>
        <w:rPr>
          <w:highlight w:val="lightGray"/>
        </w:rPr>
        <w:t>Reference 13 - 0.15% Coverage</w:t>
      </w:r>
    </w:p>
    <w:p>
      <w:pPr>
        <w:pStyle w:val="TextBody"/>
        <w:bidi w:val="0"/>
        <w:spacing w:before="0" w:after="0"/>
        <w:jc w:val="left"/>
        <w:rPr/>
      </w:pPr>
      <w:r>
        <w:rPr/>
        <w:t>We have worked with dozens of other states and with numerous multilateral organizations to develop and share best practices designed to help states make wiser investments and develop more effective policies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[ 0.05%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seeking bilateral or multilateral arrangements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bilateral and multilateral arrangements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Together we will emphasize fair trade enforcement actions when necessary, as well as multinational efforts to ensure transparency and adherence to international standards within trade and investment projects.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 references coded [ 0.41%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will encourage other nations to publicly affirm these principles and views through enhanced outreach and engagement in multilateral fora.</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The United States Government will defend the open, interoperable nature of the Internet in multilateral and international fora through active engagement in key organizations, such as the Internet Corporation for Assigned Names and Numbers, the Internet Governance Forum, the United Nations, and the International Telecommunication Union.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