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3 references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global challenge of securing cyberspace requires an increased effort in multilateral forums.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seeking bilateral or multilateral arrangements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bilateral and multilateral arrangements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13 references coded [ 0.68%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They continue to collaborate bilaterally, multilaterally, and internationally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Multi-stakeholder Governance: Internet governance efforts must not be limited to governments, but should include all appropriate stakeholders~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many stakeholders as possible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multilateral, and multistakeholder organizations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Bilateral and Multilateral Partnerships~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multi-stakeholder environment~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upholding its multi-stakeholder character,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multi-stakeholder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multi-stakeholder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Promote and enhance multi-stakeholder venues for the discussion of Internet governance issues.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conversations must take place in a multi-stakeholder manner;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 recent years, we have helped make this work a priority at multilateral fora such as the OAS, APEC, and the U~N~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have worked with dozens of other states and with numerous multilateral organizations to develop and share best practices designed to help states make wiser investments and develop more effective policies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