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20 references coded [ 0.58%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shortage of political will that has at times stymied the enforcement of international 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strengthening of international norms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are working to strengthen international norms on behalf of human rights, while welcoming all peaceful democratic movements.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To adversarial governments, we offer a clear choice: abide by international norms, and 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sustainable because it is based on broadly shared norms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enforcing international norms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states that flout international norms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We will draw on diplomacy, development, and international norms and institutions to help resolve disagreements, prevent conflict, and maintain peace, mitigating where possible the need for the use of force.</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bring them into compliance with international nonproliferation norms.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reinforcing norms of safe and responsible conduct;</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Strengthening International Norms Against Corruption</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United States has an interest in a strong, peaceful, and prosperous Russia that respects international norms.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We will push for the recognition of norms of behavior in cyberspace</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2 references coded [ 0.40%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22 references coded [ 1.33%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norms of responsible behavior</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norms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The Role of Norms~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Adherence to such norms brings predictability to state conduct,</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The development of norms for state conduct in cyberspace does not require a reinvention of customary international law, nor does it render existing international norms obsolete~</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Long-standing international norms guiding state behavior—in times of peace and conflict—also apply in cyberspace~</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how these norms apply</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We will continue to 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The Basis for Norms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cyberspace norms include</w:t>
      </w:r>
    </w:p>
    <w:p>
      <w:pPr>
        <w:pStyle w:val="TextBody"/>
        <w:bidi w:val="0"/>
        <w:spacing w:before="113" w:after="113"/>
        <w:ind w:left="113" w:right="113" w:hanging="0"/>
        <w:jc w:val="left"/>
        <w:rPr>
          <w:highlight w:val="lightGray"/>
        </w:rPr>
      </w:pPr>
      <w:r>
        <w:rPr>
          <w:highlight w:val="lightGray"/>
        </w:rPr>
        <w:t>Reference 15 - 0.62% Coverage</w:t>
      </w:r>
    </w:p>
    <w:p>
      <w:pPr>
        <w:pStyle w:val="TextBody"/>
        <w:bidi w:val="0"/>
        <w:spacing w:before="0" w:after="0"/>
        <w:jc w:val="left"/>
        <w:rPr/>
      </w:pPr>
      <w:r>
        <w:rPr/>
        <w:t xml:space="preserve">Emerging norms, also essential to this space, include: • Global Interoperability: States should act within their authorities to help ensure the end-toend interoperability of an Internet accessible to all~ </w:t>
        <w:br/>
        <w:t xml:space="preserve">• Network Stability: States should respect the free flow of information in national network configurations, ensuring they do not arbitrarily interfere with internationally interconnected infrastructure~ </w:t>
        <w:br/>
        <w:t xml:space="preserve">• Reliable Access: States should not arbitrarily deprive or disrupt individuals’ access to the Internet or other networked technologies~ </w:t>
        <w:br/>
        <w:t xml:space="preserve">• Multi-stakeholder Governance: Internet governance efforts must not be limited to governments, but should include all appropriate stakeholders~ </w:t>
        <w:br/>
        <w:t>• Cybersecurity Due Diligence: States should recognize and act on their responsibility to protect information infrastructures and secure national systems from damage or misuse~</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promulgate positive norms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Building broad international understanding about cyberspace norms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applying norms of behavior~</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norms of behavior for states and cybersecurity,</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key cyberspace activities, including norms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international norms of acceptable network management</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[ 0.23%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cyber threat is expanded and </w:t>
        <w:br/>
        <w:t xml:space="preserve">3 </w:t>
        <w:br/>
        <w:t>exacerbated by lack of international norms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6 references coded [ 0.10%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acceptable legal norms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acceptable norms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Norms of Behavior: Addresses those elements of law, regulation, and international treaties and undertakings, as well as consensus-based measures, such as best practices, that collectively circumscribe and define standards of conduct in cyberspace.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[ 0.30%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Iran also poses strategic challenges to the international community. It is pursuing </w:t>
        <w:br/>
        <w:t>nuclear and missile delivery technologies despite repeated United Nations Security Council resolutions demanding that it cease such efforts.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commitment to international norms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15 references coded [ 1.45%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It also means holding ourselves to international norms and standards that we expect other nations to uphold, and admitting when we do not</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imposing costs on those who threaten their neighbors or violate fundamental international norms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will continue mobilizing international support to strengthen and expand global norms of human rights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11 - 0.11%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insisting that China uphold international rules and norms on issues ranging from maritime security to trade and human rights.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Russia’s aggression in Ukraine makes clear that European security and the international rules and norms against territorial aggression cannot be taken for granted.</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uphold and refresh the international rules and norms that set the parameters for such collaboration and competition.</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7 references coded [ 1.81%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Norms of State Behavior in Cyberspace</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Endorsement of, and adherence to, specific norms of state behavior in cyberspace could further build mutual confidence that nations are not threatening each other with crippling cyber attacks.</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 xml:space="preserve">By acting together to develop and enforce such norms, the United States and </w:t>
        <w:br/>
        <w:t xml:space="preserve">16 </w:t>
        <w:br/>
        <w:t>its international partners can isolate potential adversaries.</w:t>
      </w:r>
    </w:p>
    <w:p>
      <w:pPr>
        <w:pStyle w:val="TextBody"/>
        <w:bidi w:val="0"/>
        <w:spacing w:before="113" w:after="113"/>
        <w:ind w:left="113" w:right="113" w:hanging="0"/>
        <w:jc w:val="left"/>
        <w:rPr>
          <w:highlight w:val="lightGray"/>
        </w:rPr>
      </w:pPr>
      <w:r>
        <w:rPr>
          <w:highlight w:val="lightGray"/>
        </w:rPr>
        <w:t>Reference 7 - 0.82% Coverage</w:t>
      </w:r>
    </w:p>
    <w:p>
      <w:pPr>
        <w:pStyle w:val="TextBody"/>
        <w:bidi w:val="0"/>
        <w:spacing w:before="0" w:after="0"/>
        <w:jc w:val="left"/>
        <w:rPr/>
      </w:pPr>
      <w:r>
        <w:rPr/>
        <w:t xml:space="preserve"> </w:t>
      </w:r>
      <w:r>
        <w:rPr/>
        <w:t xml:space="preserve">A State should not conduct or knowingly support online activity that intentionally damages critical infrastructure or otherwise impairs the use of critical infrastructure to provide services to the public. </w:t>
        <w:br/>
        <w:t xml:space="preserve"> A State should not conduct or knowingly support activity intended to prevent national computer security incident response teams (CSIRTs) from responding to cyber incidents. A State should also not use CSIRTs to enable online activity that is intended to do harm. </w:t>
        <w:br/>
        <w:t xml:space="preserve"> A State should cooperate, in a manner consistent with its domestic law and international obligations, with requests for assistance from other states in investigating cybercrimes, collecting electronic evidence, and mitigating malicious cyber activity emanating from its territory. </w:t>
        <w:br/>
        <w:t> A State should not conduct or knowingly support cyber-enabled theft of intellectual property, including trade secrets or other confidential business information, with the intent of providing competitive advantages to its companies or commercial sectors.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Syrian regime’s use of chemical weapons against its own citizens undermines international norms against these heinous weapons, which may encourage more actors to pursue and use them.</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4 references coded [ 0.60%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Enhance Cyber Stability through Norms of Responsible State Behavior</w:t>
      </w:r>
    </w:p>
    <w:p>
      <w:pPr>
        <w:pStyle w:val="TextBody"/>
        <w:bidi w:val="0"/>
        <w:spacing w:before="113" w:after="113"/>
        <w:ind w:left="113" w:right="113" w:hanging="0"/>
        <w:jc w:val="left"/>
        <w:rPr>
          <w:highlight w:val="lightGray"/>
        </w:rPr>
      </w:pPr>
      <w:r>
        <w:rPr>
          <w:highlight w:val="lightGray"/>
        </w:rPr>
        <w:t>Reference 2 - 0.29% Coverage</w:t>
      </w:r>
    </w:p>
    <w:p>
      <w:pPr>
        <w:pStyle w:val="TextBody"/>
        <w:bidi w:val="0"/>
        <w:spacing w:before="0" w:after="0"/>
        <w:jc w:val="left"/>
        <w:rPr/>
      </w:pPr>
      <w:r>
        <w:rPr/>
        <w:t xml:space="preserve">The United States will promote a framework of 20 </w:t>
        <w:br/>
        <w:t>responsible state behavior in cyberspace built upon international law, adherence to voluntary non-binding norms of responsible state behavior that apply during peacetime, and the consideration of practical confidence building measures to reduce the risk of conflict stemming from malicious cyber activity.</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ENCOURAGE UNIVERSAL ADHERENCE TO CYBER NORMS</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