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legal regimes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information sharing regimes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 references coded [ 0.28%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We led international efforts to stop the proliferation of nuclear weapons, including by building an unprecedented international sanctions regime to hold Iran responsible for failing to meet its international obligations, while pursuing a diplomatic effort that has already stopped the progress of Iran’s nuclear program and rolled it back in key respects.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Our sanctions regime has demonstrated that the international community can— and will—hold accountable those nations that do not meet their obligations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strengthen the global nonproliferation regime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will work with allies and partners to achieve complete, verifiable, and irreversible denuclearization on the Korean Peninsula and preserve the non-proliferation regime in Northeast Asia.</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we will encourage industry-driven certification regimes that ensure solutions can adapt in a rapidly evolving market and threat landscape.</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Just as we seek to pool technical expertise and complementary industrial capacity with our allies and partners, we are also enhancing our collective capacity to withstand attempts to degrade our shared technology advantages, including through investment screening and export controls, and the development of new regimes where gaps persist.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