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9 references coded [ 0.24%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we will act in line with the rule of law and due process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rule of law—and our capacity to enforce it—advances our national security and strengthens our leadership.</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 United States is thus working to strengthen national justice systems and is maintaining our support for ad hoc international tribunals and hybrid courts.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 references coded [ 0.31%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ensure consistency with the rule of law</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rule of law in cyberspace~</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Rules that promote order and peace, advance basic human dignity, and promote freedom in economic competition are essential to any international environment~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development of global standards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Any decision to conduct cyber operations outside of DoD networks is made with the utmost care and deliberation and under strict policy and operational oversight, and in accordance with the law of armed conflict.</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North Korea’s pursuit of nuclear weapons and ballistic missile technologies also </w:t>
        <w:br/>
        <w:t>contradicts repeated demands by the international community to cease such efforts.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15 references coded [ 1.35%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To succeed, we must draw upon the power of our example—that means viewing our commitment to our values and the rule of law as a strength, and not an inconvenience.</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By the same token, many of our greatest opportunities stem from advances for liberty and rule of law—from sub-Saharan Africa to Eastern Europe to Burma.</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testing our commitment to civil liberties and the rule of law at home.</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are increasing transparency so the public can be confident our surveillance activities are consistent with the rule of law and governed by effective oversight.</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insisting that China uphold international rules and norms on issues ranging from maritime security to trade and human rights.</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Russia’s aggression in Ukraine makes clear that European security and the international rules and norms against territorial aggression cannot be taken for granted.</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[ 0.15%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Fourth, they thrive under conditions of state weakness and prey on the vulnerable as they accelerate the breakdown of rules to create havens from which to plan and launch att acks on the United States, our allies, and our partners.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United States will pursue enforcement actions when countries violate the rules to gain unfair advantage.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WORK WITH LIKE-MINDED PARTNERS: The United States will work with like-minded partners to preserve and modernize the rules of a fair and reciprocal economic order.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[ 0.21%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