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development of global standards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9 references coded [ 0.24%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America’s commitment to democracy, human rights, and the rule of law are essential sources of our strength and influence in the world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Rules of the road must be followed,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we did after World War II, we must pursue a rules-based international system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act in line with the rule of law and due process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Brutal methods of interrogation are inconsistent with our values, undermine the rule of law, and are not effective means of obtaining information.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rule of law—and our capacity to enforce it—advances our national security and strengthens our leadership.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America’s commitment to the rule of law is fundamental to our efforts to build an international order that is capable of confronting the emerging challenges of the 21st century.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is thus working to strengthen national justice systems and is maintaining our support for ad hoc international tribunals and hybrid courts.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maintain the trust and confidence of our elected leaders and the public by providing frank, professional military advice; being good stewards of public resources; and vigorously executing lawful orders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4 references coded [ 0.31%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ensure consistency with the rule of law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rule of law—a civil order in which fidelity to laws safeguards people and interests; brings stability to global markets; and holds malevolent actors to account internationally—both supports our national security and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 of law in cyberspace~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Rules that promote order and peace, advance basic human dignity, and promote freedom in economic competition are essential to any international environment~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