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we will lead on behalf of our values by living them</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are striving to build bridges among people of different faiths and regions.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[ 0.48%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[ 0.49%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