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Study\\CS1_Primary Sources_Policy_Strategies\\2011 International Strategy for Cyberspace - § 1 reference coded [ 0.15%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1 - 0.15%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These challenges transcend national borders; low costs of entry to cyberspace and the ability to establish an anonymous virtual presence can also lead to “safe havens” for criminals, with or without a state’s knowledge~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Study\\CS1_Primary Sources_Policy_Strategies\\2011 National Military Strategy - § 1 reference coded [ 0.09%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1 - 0.09% Coverage</w:t>
      </w:r>
    </w:p>
    <w:p>
      <w:pPr>
        <w:pStyle w:val="BodyText"/>
        <w:bidi w:val="0"/>
        <w:spacing w:before="0" w:after="0"/>
        <w:jc w:val="left"/>
        <w:rPr/>
      </w:pPr>
      <w:r>
        <w:rPr/>
        <w:t xml:space="preserve">The cyber threat is expanded and </w:t>
        <w:br/>
        <w:t xml:space="preserve">3 </w:t>
        <w:br/>
        <w:t>exacerbated by lack of international norms, difficulties of attribution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Files\\2015 Case Study\\CS2_Primary Sources_Policy_Strategies\\2015 DoD Cyber Strategy - § 3 references coded [ 0.37%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1 - 0.17% Coverage</w:t>
      </w:r>
    </w:p>
    <w:p>
      <w:pPr>
        <w:pStyle w:val="BodyText"/>
        <w:bidi w:val="0"/>
        <w:spacing w:before="0" w:after="0"/>
        <w:jc w:val="left"/>
        <w:rPr/>
      </w:pPr>
      <w:r>
        <w:rPr/>
        <w:t>State and non-state threats often also blend together; patriotic entities often act as cyber surrogates for states, and non-state entities can provide cover for state-based operators. This behavior can make attribution more difficult and increases the chance of miscalculation.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2 - 0.11% Coverage</w:t>
      </w:r>
    </w:p>
    <w:p>
      <w:pPr>
        <w:pStyle w:val="BodyText"/>
        <w:bidi w:val="0"/>
        <w:spacing w:before="0" w:after="0"/>
        <w:jc w:val="left"/>
        <w:rPr/>
      </w:pPr>
      <w:r>
        <w:rPr/>
        <w:t>In addition, the United States requires strong intelligence, forensics, and indications and warning capabilities to reduce anonymity in cyberspace and increase confidence in attribution.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3 - 0.09%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Defense Department will continue to collaborate closely with the private sector and other agencies of the U.S. government to strengthen attribution.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Files\\2015 Case Study\\CS2_Primary Sources_Policy_Strategies\\2015 National Security Strategy - § 1 reference coded [ 0.09%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1 - 0.09% Coverage</w:t>
      </w:r>
    </w:p>
    <w:p>
      <w:pPr>
        <w:pStyle w:val="BodyText"/>
        <w:bidi w:val="0"/>
        <w:spacing w:before="0" w:after="0"/>
        <w:jc w:val="left"/>
        <w:rPr/>
      </w:pPr>
      <w:r>
        <w:rPr/>
        <w:t>Our economy, safety, and health are linked through a networked infrastructure that is targeted by malicious government, criminal, and individual actors who try to avoid attribution.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Files\\2015 Case Study\\CS2_Primary Sources_Policy_Strategies\\2015 White House Report on Cyber Deterrence Policy - § 3 references coded [ 0.46%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1 - 0.23% Coverage</w:t>
      </w:r>
    </w:p>
    <w:p>
      <w:pPr>
        <w:pStyle w:val="BodyText"/>
        <w:bidi w:val="0"/>
        <w:spacing w:before="0" w:after="0"/>
        <w:jc w:val="left"/>
        <w:rPr/>
      </w:pPr>
      <w:r>
        <w:rPr/>
        <w:t xml:space="preserve">While the United States’ ability to attribute a cyber attack to a specific actor </w:t>
        <w:br/>
        <w:t xml:space="preserve">4 </w:t>
        <w:br/>
        <w:t>through long-term analysis has improved dramatically in recent years, allowing for malicious actors to be held responsible for their actions, high-confidence attribution5 in real-time remains difficult.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2 - 0.12% Coverage</w:t>
      </w:r>
    </w:p>
    <w:p>
      <w:pPr>
        <w:pStyle w:val="BodyText"/>
        <w:bidi w:val="0"/>
        <w:spacing w:before="0" w:after="0"/>
        <w:jc w:val="left"/>
        <w:rPr/>
      </w:pPr>
      <w:r>
        <w:rPr/>
        <w:t>Such efforts to change an adversary’s risk-benefit calculus have the potential to limit perceived options and can be pursued independent of attribution.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3 - 0.10% Coverage</w:t>
      </w:r>
    </w:p>
    <w:p>
      <w:pPr>
        <w:pStyle w:val="BodyText"/>
        <w:bidi w:val="0"/>
        <w:spacing w:before="0" w:after="0"/>
        <w:jc w:val="left"/>
        <w:rPr/>
      </w:pPr>
      <w:r>
        <w:rPr/>
        <w:t>Further developing intelligence capabilities that improve our ability to attribute and act against malicious cyber activities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Sources_Policy_Strategies\\2017 National Security Strategy - § 2 references coded [ 0.10%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Such att acks have the capability to harm large numbers of people and institutions with comparatively minimal investment and a troubling degree of deniability.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2 - 0.05%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IMPROVE ATTRIBUTION , ACCOUNTABIL ITY, AND RESPONSE: We will invest in capabilities to support and improve our ability to attribute cyberattacks, to al low for rapid response.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Files\\2023 Case Study\\CS4_Primary Sources_Policy_Strategies\\2022 National Defense Strategy - § 1 reference coded [ 0.06%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1 - 0.06%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proliferation of advanced missiles, uncrewed aircraft systems, and cyber tools to military proxies allows competitors to threaten U.S. forces, Allies, and partners, in indirect and deniable ways.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