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cannot succeed by acting in isolation, because cyberspace crosses geographic and jurisdictional boundaries.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power, in an interconnected world, is no longer a zero sum game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Many of these goals are equally applicable to cyberspace. While cyberspace relies on the digital infrastructure of individual countries, such infrastructure is globally connected, and securing it requires global cooperation.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states are conducting or condoning cyber intrusions that foreshadow the growing threat in this globally connected domain.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5 references coded [ 0.40%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This world—cyberspace—is a world that we depend on every single day... [it] has made us more interconnected than at any time in human history.”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reach of networked technology is pervasive and global~ For all nations, the underlying digital infrastructure is or will soon become a national asset~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increasingly networked world~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one country’s method for blocking a website can cascade into a much larger, international network disruption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networks link nations more closely, so an attack on one nation’s networks may have impact far beyond its borders~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