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cannot succeed by acting in isolation, because cyberspace crosses geographic and jurisdictional boundaries.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power, in an interconnected world, is no longer a zero sum game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Many of these goals are equally applicable to cyberspace. While cyberspace relies on the digital infrastructure of individual countries, such infrastructure is globally connected, and securing it requires global cooperation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states are conducting or condoning cyber intrusions that foreshadow the growing threat in this globally connected domain.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5 references coded [ 0.40%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This world—cyberspace—is a world that we depend on every single day... [it] has made us more interconnected than at any time in human history.”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reach of networked technology is pervasive and global~ For all nations, the underlying digital infrastructure is or will soon become a national asset~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increasingly networked world~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one country’s method for blocking a website can cascade into a much larger, international network disruption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networks link nations more closely, so an attack on one nation’s networks may have impact far beyond its borders~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