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Study\\CS1_Primary Sources_Policy_Strategies\\2011 National Military Strategy - § 1 reference coded [ 0.11%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Some states are conducting or condoning cyber intrusions that foreshadow the growing threat in this globally connected domain.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Study\\CS2_Primary Sources_Policy_Strategies\\2015 White House Report on Cyber Deterrence Policy - § 2 references coded [ 0.48%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1 - 0.28%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Criminals, terrorists, and nation-state adversaries are able to exploit the United States’ pervasive dependence on vulnerable technologies to alter, steal, or destroy information; divert or steal money; gain competitive advantages through intellectual property theft; disrupt services; and potentially cripple critical infrastructures.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2 - 0.20%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Shared situational awareness of cyber threats and indicators of malicious cyber activity – including information on those responsible – provides network defenders the opportunity to close known vulnerabilities before they can be fully exploited.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Sources_Policy_Strategies\\2018 National Cyber Strategy - § 1 reference coded [ 0.23%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1 - 0.23%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C </w:t>
        <w:br/>
        <w:t xml:space="preserve">hallenges to United States security and economic interests, from nation states and other groups, which have long </w:t>
        <w:br/>
        <w:t>existed in the offline world are now increasingly occurring in cyberspace. This now-persistent engagement in cyberspace is already altering the strategic balance of power.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