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2 references coded [ 0.36%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Cyberspace also has distinctive characteristics – including its global and interconnected nature, largely private ownership, potential for anonymity, and low barriers to entry for those who wish to cause damage – that pose challenges for deterrence that are different in kind and scope than deterrence in more traditional areas.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asymmetric advantages granted to malicious cyber actors reward competition, not cooperation, among nation-states.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