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Files\\2015 Case Study\\CS2_Primary Sources_Policy_Strategies\\2015 White House Report on Cyber Deterrence Policy - § 2 references coded [ 0.36% Coverage]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1 - 0.26% Coverage</w:t>
      </w:r>
    </w:p>
    <w:p>
      <w:pPr>
        <w:pStyle w:val="TextBody"/>
        <w:bidi w:val="0"/>
        <w:spacing w:before="0" w:after="0"/>
        <w:jc w:val="left"/>
        <w:rPr/>
      </w:pPr>
      <w:r>
        <w:rPr/>
        <w:t>Cyberspace also has distinctive characteristics – including its global and interconnected nature, largely private ownership, potential for anonymity, and low barriers to entry for those who wish to cause damage – that pose challenges for deterrence that are different in kind and scope than deterrence in more traditional areas.</w:t>
      </w:r>
    </w:p>
    <w:p>
      <w:pPr>
        <w:pStyle w:val="TextBody"/>
        <w:bidi w:val="0"/>
        <w:spacing w:before="113" w:after="113"/>
        <w:ind w:left="113" w:right="113" w:hanging="0"/>
        <w:jc w:val="left"/>
        <w:rPr>
          <w:highlight w:val="lightGray"/>
        </w:rPr>
      </w:pPr>
      <w:r>
        <w:rPr>
          <w:highlight w:val="lightGray"/>
        </w:rPr>
        <w:t>Reference 2 - 0.10% Coverage</w:t>
      </w:r>
    </w:p>
    <w:p>
      <w:pPr>
        <w:pStyle w:val="TextBody"/>
        <w:bidi w:val="0"/>
        <w:spacing w:before="0" w:after="0"/>
        <w:jc w:val="left"/>
        <w:rPr/>
      </w:pPr>
      <w:r>
        <w:rPr/>
        <w:t>The asymmetric advantages granted to malicious cyber actors reward competition, not cooperation, among nation-states.</w:t>
      </w:r>
    </w:p>
    <w:sectPr>
      <w:type w:val="nextPage"/>
      <w:pgSz w:w="12240" w:h="15840"/>
      <w:pgMar w:left="1134" w:right="567" w:header="0" w:top="567" w:footer="0" w:bottom="567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LibreOffice/6.4.7.2$MacOSX_X86_64 LibreOffice_project/639b8ac485750d5696d7590a72ef1b496725cfb5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