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Files\\2023 Case Study\\CS4_Primary Sources_Policy_Strategies\\2023 DoD Cyber Strategy Summary - § 1 reference coded [ 0.24%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1 - 0.24% Coverage</w:t>
      </w:r>
    </w:p>
    <w:p>
      <w:pPr>
        <w:pStyle w:val="BodyText"/>
        <w:bidi w:val="0"/>
        <w:spacing w:before="0" w:after="0"/>
        <w:jc w:val="left"/>
        <w:rPr/>
      </w:pPr>
      <w:r>
        <w:rPr/>
        <w:t>In this saturated cyber battlefield, military operations conducted by states and non-state proxies have collided with the cyber defense efforts of numerous private sector actors.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LibreOffice/7.6.5.2$MacOSX_X86_64 LibreOffice_project/38d5f62f85355c192ef5f1dd47c5c0c0c6d6598b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