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2 references coded [ 0.22%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 best cybersecurity solutions are dynamic and adaptable, with minimal impact on network performance~</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While cyberspace is a dynamic environment, international behavior in it must be grounded in the principles of responsible domestic governance, peaceful interstate conduct, and reliable network management~</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U.S. foreign policy and the international security architecture must continue to adapt to this dynamic security environment</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[ 0.08%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strategic environment can change quickly. That is especially true in cyberspace. We must be dynamic, flexible, and agile in this work.</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[ 0.28%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Cyberspace has grown far beyond its origins as a U.S. defense research project. Static, text- driven websites and file-sharing protocols have given way to the dynamic, mobile, and ubiquitous environment we know today.</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[ 0.16%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As our lives become intertwined with video and audio streaming, wearable devices, and biometric technologies, the quantity and intimacy of personal data collection is growing exponentially. Theft of that data is also growing rapidly, and opening up novel vectors for malicious actors to surveil, manipulate, and blackmail individuals.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