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[ 0.18%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t>
      </w:r>
      <w:r>
        <w:rPr/>
        <w:t>[M]ultiple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movement of data across jurisdictional boundaries presents challenges for law enforcement, the protection of privacy and civil liberties as defined by different countries, and liability decisions in the event of data or network breaches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[ 0.14%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Their support networks have global reach and are not contained by national borders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threat of contagious disease transcends political boundaries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These threats cross borders and continents and undermine the stability of nations, subverting government institutions through corruption and harming citizens worldwide.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 xml:space="preserve">These shared areas, which exist outside exclusive national jurisdictions, are the connective tissue around our globe upon which all nations’ security </w:t>
        <w:br/>
        <w:t xml:space="preserve">★ 49 ★ </w:t>
        <w:br/>
        <w:t xml:space="preserve">NaTIONal SeCurITy STraTegy </w:t>
        <w:br/>
        <w:t>and prosperity depend</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[ 0.42%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These challenges transcend national borders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Computers can communicate with one another across a seamless landscape of global networks permitting trusted, instantaneous communication with friends and colleagues down the block or around the world~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flows freely beyond national borders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an attack on one nation’s networks may have impact far beyond its borders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benefits of an interconnected world should not be limited by national borders~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expectation that under normal circumstances, data will flow across borders without regard for its national origin or destination~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