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Files\\2023 Case Study\\CS4_Primary Sources_Policy_Strategies\\2023 DoD Cyber Strategy Summary - § 2 references coded [ 0.33%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1 - 0.23% Coverage</w:t>
      </w:r>
    </w:p>
    <w:p>
      <w:pPr>
        <w:pStyle w:val="BodyText"/>
        <w:bidi w:val="0"/>
        <w:spacing w:before="0" w:after="0"/>
        <w:jc w:val="left"/>
        <w:rPr/>
      </w:pPr>
      <w:r>
        <w:rPr/>
        <w:t>We will continue hunt forward operations and other bilateral technical collaboration, working with Allies and partners to illuminate malicious cyber activity on their networks.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2 - 0.10% Coverage</w:t>
      </w:r>
    </w:p>
    <w:p>
      <w:pPr>
        <w:pStyle w:val="BodyText"/>
        <w:bidi w:val="0"/>
        <w:spacing w:before="0" w:after="0"/>
        <w:jc w:val="left"/>
        <w:rPr/>
      </w:pPr>
      <w:r>
        <w:rPr/>
        <w:t>Continue Hunt Forward Operations and Bilateral Technical Collaboration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