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12 references coded [ 0.25%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globally-interconnected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interconnectivity.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globally-interconnected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connectivity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Internet as a primary means of interconnectivity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interconnectivity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interconnected 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interconnected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cannot succeed by acting in isolation, because cyberspace crosses geographic and jurisdictional boundaries.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first popular computers for the mass consumer market first emerged in the early 1980s, coincident in time with the emergence of the Internet as a global network-of-networks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12 - 0.12%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wireless broadband network infrastructures have been (and continue to be) deployed that provide an increasingly diverse array of applications and services to both commercial and individual users, accessible over a growing variety of fixed and mobile devices. They support the clearing of billions of dollars in transactions among financial institutions, trading on exchanges, online banking, e-commerce, as well as billing and account management for many retailers and service providers;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4 references coded [ 0.14%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power, in an interconnected world, is no longer a zero sum game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interconnected,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These shared areas, which exist outside exclusive national jurisdictions, are the connective tissue around our globe upon which all nations’ security </w:t>
        <w:br/>
        <w:t xml:space="preserve">★ 49 ★ </w:t>
        <w:br/>
        <w:t xml:space="preserve">NaTIONal SeCurITy STraTegy </w:t>
        <w:br/>
        <w:t>and prosperity depend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Many of these goals are equally applicable to cyberspace. While cyberspace relies on the digital infrastructure of individual countries, such infrastructure is globally connected, and securing it requires global cooperation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3 references coded [ 0.58%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. Individuals and communities worldwide </w:t>
        <w:br/>
        <w:t>connect, socialize, and organize themselves in and through cyberspac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. As Internet usage continues to expand, cyberspace will become increasingly woven into the fabric of everyday life across the globe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3 - 0.26%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Given the integrated nature of cyberspace, computer-induced failures of power grids, transportation networks, or financial systems could cause massive physical damage and economic disruption.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6 references coded [ 0.67%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increasing interconnectedness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Some states are conducting or condoning cyber intrusions that foreshadow the growing threat in this globally connected domain.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 prosperous and interconnected world requires a stable and secure environment, the absence of territorial aggression or conflict between states, and reliable access to resources and cyberspace for stable markets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global economy’s interconnectedness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5 - 0.12%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global commons and globally connected domains constitute the connective tissue upon which all nations’ security and prosperity depend.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6 - 0.18%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interlinked domains of air, space, and cyberspace allow for the high-speed, high-volume exchange of people, ideas, goods, information and capital that are equally critical to the global economy.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10 references coded [ 0.45%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“</w:t>
      </w:r>
      <w:r>
        <w:rPr/>
        <w:t>This world—cyberspace—is a world that we depend on every single day... [it] has made us more interconnected than at any time in human history.”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integrity of the interconnected 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interconnection~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nternationally interconnected infrastructure~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interconnected networks link nations more closely,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globally interconnected 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 an interconnected global environment, weak security in one nation’s systems compounds the risk to others~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interconnected nature of networked systems of our closest allies, such as those of NATO and its member states, creates opportunities and new risks~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interconnected world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