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That is why we must also enhance our resilience—the ability to adapt to changing conditions and prepare for, withstand, and rapidly recover from disruption.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are working across the government and with the private sector to design more secure technology that gives us the ability to better protect and to improve the resilience of critical government and industry systems and networks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[ 0.83% Coverage]</w:t>
      </w:r>
    </w:p>
    <w:p>
      <w:pPr>
        <w:pStyle w:val="TextBody"/>
        <w:bidi w:val="0"/>
        <w:spacing w:before="113" w:after="113"/>
        <w:ind w:left="113" w:right="113" w:hanging="0"/>
        <w:jc w:val="left"/>
        <w:rPr>
          <w:highlight w:val="lightGray"/>
        </w:rPr>
      </w:pPr>
      <w:r>
        <w:rPr>
          <w:highlight w:val="lightGray"/>
        </w:rPr>
        <w:t>Reference 1 - 0.60% Coverage</w:t>
      </w:r>
    </w:p>
    <w:p>
      <w:pPr>
        <w:pStyle w:val="TextBody"/>
        <w:bidi w:val="0"/>
        <w:spacing w:before="0" w:after="0"/>
        <w:jc w:val="left"/>
        <w:rPr/>
      </w:pPr>
      <w:r>
        <w:rPr/>
        <w:t>These efforts will be supported by the development of increasingly resilient networks and systems. In the case of a contingency involving network failure or significant compromise, DoD must be able to remain operationally effective by isolating and neutralizing the impact, using redundant capacity, or shifting its operations from one system to another. Multiple networks can add diversity, resiliency, and mission assurance to cyberspace operations.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4 references coded [ 0.13%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resilient to arbitrary or malicious disruption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national and international network resilience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Ensuring the resilience of our networks and information systems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enhance overall resilience</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[ 0.31%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Joint assured access to the global commons and cyberspace constitutes a core aspect of U.S. national security and remains an enduring mission for the Joint Force.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Joint Forces will secure the ‘.mil’ domain, requiring a resilient DoD cyberspace architecture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more resilient systems and system architectures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resilient architectures,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10 references coded [ 1.98%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Behind these defense investments, organizations of every kind must build business continuity plans and be ready to operate in a degraded cyber environment where access to networks and data is uncertain.</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To mitigate risks in cyberspace requires a comprehensive strategy to counter and if necessary withstand disruptive and destructive attacks.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Through years of practice and exercise, a culture of resilience took root in the military and units were ready and prepared to operate in contested environments.</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TextBody"/>
        <w:bidi w:val="0"/>
        <w:spacing w:before="113" w:after="113"/>
        <w:ind w:left="113" w:right="113" w:hanging="0"/>
        <w:jc w:val="left"/>
        <w:rPr>
          <w:highlight w:val="lightGray"/>
        </w:rPr>
      </w:pPr>
      <w:r>
        <w:rPr>
          <w:highlight w:val="lightGray"/>
        </w:rPr>
        <w:t>Reference 6 - 0.51% Coverage</w:t>
      </w:r>
    </w:p>
    <w:p>
      <w:pPr>
        <w:pStyle w:val="TextBody"/>
        <w:bidi w:val="0"/>
        <w:spacing w:before="0" w:after="0"/>
        <w:jc w:val="left"/>
        <w:rPr/>
      </w:pPr>
      <w:r>
        <w:rPr/>
        <w:t xml:space="preserve">Resilience: Because the Defense Department’s </w:t>
        <w:br/>
        <w:t xml:space="preserve">capabilities cannot </w:t>
        <w:br/>
        <w:t>necessarily guarantee that every cyberattack will be denied successfully, the Defense Department must invest in resilient and redundant systems so that it may continue its operations in the face of disruptive or destructive cyberattacks on DoD networks. The Defense Department cannot, however, foster resilience in organizations that fall outside of its authority. In order for resilience to succeed as a factor in effective deterrence, other agencies of the government must work with critical infrastructure owners and operators and the private sector more broadly to develop resilient and redundant systems that can withstand a potential attack. Effective resilience measures can help convince potential adversaries of the futility of commencing cyberattacks on U.S. networks and systems.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Plan for network defense and resilience.</w:t>
      </w:r>
    </w:p>
    <w:p>
      <w:pPr>
        <w:pStyle w:val="TextBody"/>
        <w:bidi w:val="0"/>
        <w:spacing w:before="113" w:after="113"/>
        <w:ind w:left="113" w:right="113" w:hanging="0"/>
        <w:jc w:val="left"/>
        <w:rPr>
          <w:highlight w:val="lightGray"/>
        </w:rPr>
      </w:pPr>
      <w:r>
        <w:rPr>
          <w:highlight w:val="lightGray"/>
        </w:rPr>
        <w:t>Reference 8 - 0.27% Coverage</w:t>
      </w:r>
    </w:p>
    <w:p>
      <w:pPr>
        <w:pStyle w:val="TextBody"/>
        <w:bidi w:val="0"/>
        <w:spacing w:before="0" w:after="0"/>
        <w:jc w:val="left"/>
        <w:rPr/>
      </w:pPr>
      <w:r>
        <w:rPr/>
        <w:t>Build and exercise continuity plans. All DoD components will identify and build resiliency plans to maintain continuity of their most critical operations in the event of network disruption and degradation. Military campaign plans must fully incorporate the ability to operate in a degraded cyber environment; military forces must exercise and be able to conduct military campaigns in a degraded cyber environment where access to networks and data is uncertain.</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Support the hardening and resiliency of Middle Eastern allies’ and partners’ networks and systems. As a part of its cyber dialogue and partnerships, DoD will work with key Middle Eastern allies and partners to improve their ability to secure their military networks as well as the critical infrastructure and key resources upon which U.S. interests depend.</w:t>
      </w:r>
    </w:p>
    <w:p>
      <w:pPr>
        <w:pStyle w:val="TextBody"/>
        <w:bidi w:val="0"/>
        <w:spacing w:before="113" w:after="113"/>
        <w:ind w:left="113" w:right="113" w:hanging="0"/>
        <w:jc w:val="left"/>
        <w:rPr>
          <w:highlight w:val="lightGray"/>
        </w:rPr>
      </w:pPr>
      <w:r>
        <w:rPr>
          <w:highlight w:val="lightGray"/>
        </w:rPr>
        <w:t>Reference 10 - 0.20% Coverage</w:t>
      </w:r>
    </w:p>
    <w:p>
      <w:pPr>
        <w:pStyle w:val="TextBody"/>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[ 0.10%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reliable and resilient communications links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sustaining a resilient global posture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7 references coded [ 0.49%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These actions are a part of our resilience at home and a source of our influence abroad.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make sure America is resilient in the face of adversity</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are working with the owners and operators of our Nation’s critical cyber and physical infrastructure across every sector—financial, energy, transportation, health, information technology, and more—to decrease vulnerabilities and increase resilience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enhance the resiliency of critical U.S. space capabilities.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14 references coded [ 2.26%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Resiliency,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Defense, Resiliency, and Reconstitution</w:t>
      </w:r>
    </w:p>
    <w:p>
      <w:pPr>
        <w:pStyle w:val="TextBody"/>
        <w:bidi w:val="0"/>
        <w:spacing w:before="113" w:after="113"/>
        <w:ind w:left="113" w:right="113" w:hanging="0"/>
        <w:jc w:val="left"/>
        <w:rPr>
          <w:highlight w:val="lightGray"/>
        </w:rPr>
      </w:pPr>
      <w:r>
        <w:rPr>
          <w:highlight w:val="lightGray"/>
        </w:rPr>
        <w:t>Reference 7 - 0.24% Coverage</w:t>
      </w:r>
    </w:p>
    <w:p>
      <w:pPr>
        <w:pStyle w:val="TextBody"/>
        <w:bidi w:val="0"/>
        <w:spacing w:before="0" w:after="0"/>
        <w:jc w:val="left"/>
        <w:rPr/>
      </w:pPr>
      <w:r>
        <w:rPr/>
        <w:t>Further, the United States Government invests heavily in improving its own information security and ensuring the resiliency of vital computer systems and networks, including developing the ability to reconstitute them rapidly, operate them in degraded states, or function without them if necessary.</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In addition to defensive measures, the United States Government must also ensure the resiliency of its networks, systems and data.</w:t>
      </w:r>
    </w:p>
    <w:p>
      <w:pPr>
        <w:pStyle w:val="TextBody"/>
        <w:bidi w:val="0"/>
        <w:spacing w:before="113" w:after="113"/>
        <w:ind w:left="113" w:right="113" w:hanging="0"/>
        <w:jc w:val="left"/>
        <w:rPr>
          <w:highlight w:val="lightGray"/>
        </w:rPr>
      </w:pPr>
      <w:r>
        <w:rPr>
          <w:highlight w:val="lightGray"/>
        </w:rPr>
        <w:t>Reference 9 - 0.22% Coverage</w:t>
      </w:r>
    </w:p>
    <w:p>
      <w:pPr>
        <w:pStyle w:val="TextBody"/>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w:t>
      </w:r>
    </w:p>
    <w:p>
      <w:pPr>
        <w:pStyle w:val="TextBody"/>
        <w:bidi w:val="0"/>
        <w:spacing w:before="113" w:after="113"/>
        <w:ind w:left="113" w:right="113" w:hanging="0"/>
        <w:jc w:val="left"/>
        <w:rPr>
          <w:highlight w:val="lightGray"/>
        </w:rPr>
      </w:pPr>
      <w:r>
        <w:rPr>
          <w:highlight w:val="lightGray"/>
        </w:rPr>
        <w:t>Reference 10 - 0.24% Coverage</w:t>
      </w:r>
    </w:p>
    <w:p>
      <w:pPr>
        <w:pStyle w:val="TextBody"/>
        <w:bidi w:val="0"/>
        <w:spacing w:before="0" w:after="0"/>
        <w:jc w:val="left"/>
        <w:rPr/>
      </w:pPr>
      <w:r>
        <w:rPr/>
        <w:t>Such efforts to improve cybersecurity information sharing and risk management within the government can strengthen both situational awareness and indications and warning, which in turn can help government network defenders prepare for attacks and improve the resilience of government systems.</w:t>
      </w:r>
    </w:p>
    <w:p>
      <w:pPr>
        <w:pStyle w:val="TextBody"/>
        <w:bidi w:val="0"/>
        <w:spacing w:before="113" w:after="113"/>
        <w:ind w:left="113" w:right="113" w:hanging="0"/>
        <w:jc w:val="left"/>
        <w:rPr>
          <w:highlight w:val="lightGray"/>
        </w:rPr>
      </w:pPr>
      <w:r>
        <w:rPr>
          <w:highlight w:val="lightGray"/>
        </w:rPr>
        <w:t>Reference 11 - 0.25%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To keep pace, the United States Government must evolve and develop innovative solutions to make cyberspace resilient to future threats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continue to improve the resilience of U.S. computers, networks, and critical infrastructure</w:t>
      </w:r>
    </w:p>
    <w:p>
      <w:pPr>
        <w:pStyle w:val="TextBody"/>
        <w:bidi w:val="0"/>
        <w:spacing w:before="113" w:after="113"/>
        <w:ind w:left="113" w:right="113" w:hanging="0"/>
        <w:jc w:val="left"/>
        <w:rPr>
          <w:highlight w:val="lightGray"/>
        </w:rPr>
      </w:pPr>
      <w:r>
        <w:rPr>
          <w:highlight w:val="lightGray"/>
        </w:rPr>
        <w:t>Reference 14 - 0.22%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18 references coded [ 0.94%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must build a culture of preparedness and resilience across our governmental functions, critical infrastructure, and economic and political systems.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As it evolves, the government and private sector must design systems that incorporate prevention, protection, and resiliency from the start, not as an afterthought.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IDENTIFY AND PRIORITIZE RISK: To improve the security and resilience of our critical infrastructure, we will assess risk across six key areas: national security , energy and power, banking and finance, health and safety, communications, and transportation.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We will improve our ability to provide uninterrupted and secure communications and services under all conditions.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A stronger and more resilient critical infrastructure will strengthen deterrence by creating doubt in our adversaries that they can achieve their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Promote American Resilience</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can, however, help Americans remain resilient in the face of adversity. Resilience includes the ability to withstand and recover rapidly from deliberate attacks, accidents, natural disasters, as well as unconventional stresses, shocks, and threats to our economy and democratic system.</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Reducing risk and building more resilient communities are the best ways to protect people, property, and taxpayer dollars from loss and disruption.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Through risk-informed investments, we will build resilient communities and infrastructure to protect and beneﬁ t future generations.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 democracy is only as resilient as its people. An informed and engaged citizenry is the fundamental requirement for a free and resilient nation.</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This Administration will take steps to build a culture of preparedness, informing and empowering communities and individuals to obtain the skills and take the preparatory actions necessary to become more resilient against the threats and hazards that Americans face.</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To improve the coordination among the private sector and all levels of government that is needed to improve resilience, we must make a stronger commitment to protecting sensitive information so that all partners actively identify and share vulnerabilities and work collaboratively to reduce them.</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 xml:space="preserve">Improvements </w:t>
        <w:br/>
        <w:t>in bandwidth, better broadband connectivity, and protection from persistent cyberattacks are needed to support America’s future growth</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America’s central position in the global energy system as a leading producer, consumer, and innovator—ensures that markets are free and U.S. infrastructure is resilient and secure.</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America’s role as an energy exporter will also require an assessment of our vulnerabilities and a resilient American infrastructure.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This will require a resilient forward posture and agile global mobility forces.</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Support for a vibrant domestic manufacturing sector, a solid defense industrial base, and resilient supply chains is a national priority.</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As the U.S. Government partners with U.S. commercial space capabilities to improve the resiliency of our space architecture, we will also consider extending national security protections to our private sector partners as needed.</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14 references coded [ 2.90%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We have required departments and agencies to remove software vulnerable to various security risks.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United </w:t>
        <w:br/>
        <w:t xml:space="preserve">States have faced cybersecurity challenges in effectively identifying, protecting, and ensuring resilience of their networks, systems, functions, and </w:t>
        <w:br/>
        <w:t>data as well responding to, and recovering from incidents</w:t>
      </w:r>
    </w:p>
    <w:p>
      <w:pPr>
        <w:pStyle w:val="TextBody"/>
        <w:bidi w:val="0"/>
        <w:spacing w:before="113" w:after="113"/>
        <w:ind w:left="113" w:right="113" w:hanging="0"/>
        <w:jc w:val="left"/>
        <w:rPr>
          <w:highlight w:val="lightGray"/>
        </w:rPr>
      </w:pPr>
      <w:r>
        <w:rPr>
          <w:highlight w:val="lightGray"/>
        </w:rPr>
        <w:t>Reference 3 - 0.54% Coverage</w:t>
      </w:r>
    </w:p>
    <w:p>
      <w:pPr>
        <w:pStyle w:val="TextBody"/>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OBJECTIVE: Manage cybersecurity risks to increase the security and resilience of the Nation’s information and information systems.</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 xml:space="preserve">ICT providers are in a unique position </w:t>
        <w:br/>
        <w:t>to detect, prevent, and mitigate risk before it impacts their customers, and the Federal Government must work with these providers to improve ICT security and resilience in a targeted and efficient manner while protecting privacy and civil liberties.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The Federal Government will update the National Critical Infrastructure Security and Resilience Research and Development Plan to set priorities for addressing cybersecurity risks to critical infrastructure.</w:t>
      </w:r>
    </w:p>
    <w:p>
      <w:pPr>
        <w:pStyle w:val="TextBody"/>
        <w:bidi w:val="0"/>
        <w:spacing w:before="113" w:after="113"/>
        <w:ind w:left="113" w:right="113" w:hanging="0"/>
        <w:jc w:val="left"/>
        <w:rPr>
          <w:highlight w:val="lightGray"/>
        </w:rPr>
      </w:pPr>
      <w:r>
        <w:rPr>
          <w:highlight w:val="lightGray"/>
        </w:rPr>
        <w:t>Reference 7 - 0.27% Coverage</w:t>
      </w:r>
    </w:p>
    <w:p>
      <w:pPr>
        <w:pStyle w:val="TextBody"/>
        <w:bidi w:val="0"/>
        <w:spacing w:before="0" w:after="0"/>
        <w:jc w:val="left"/>
        <w:rPr/>
      </w:pPr>
      <w:r>
        <w:rPr/>
        <w:t xml:space="preserve">Departments and agencies will align their investments to the priorities, which will focus on building new cybersecurity approaches technologies, </w:t>
        <w:br/>
        <w:t xml:space="preserve">improving and building </w:t>
        <w:br/>
        <w:t xml:space="preserve">that use emerging information-sharing </w:t>
        <w:br/>
        <w:t xml:space="preserve">and risk management related to cross-sector interdependencies, </w:t>
        <w:br/>
        <w:t xml:space="preserve">resilience </w:t>
        <w:br/>
        <w:t>to large-scale or long-duration disruptions.</w:t>
      </w:r>
    </w:p>
    <w:p>
      <w:pPr>
        <w:pStyle w:val="TextBody"/>
        <w:bidi w:val="0"/>
        <w:spacing w:before="113" w:after="113"/>
        <w:ind w:left="113" w:right="113" w:hanging="0"/>
        <w:jc w:val="left"/>
        <w:rPr>
          <w:highlight w:val="lightGray"/>
        </w:rPr>
      </w:pPr>
      <w:r>
        <w:rPr>
          <w:highlight w:val="lightGray"/>
        </w:rPr>
        <w:t>Reference 8 - 0.38% Coverage</w:t>
      </w:r>
    </w:p>
    <w:p>
      <w:pPr>
        <w:pStyle w:val="TextBody"/>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The Administration will enhance efforts to protect our space assets and support infrastructure from evolving cyber threats, and we will work with industry and international partners to strengthen the cyber resilience of existing and future space systems.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Foster a Vibrant and Resilient Digital Economy</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To enhance the resilience of cyberspace, the Administration expects the technology marketplace to support and reward the continuous development, adoption, and evolution of innovative security technologies and processes.</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 xml:space="preserve">The United States Government will promote foundational engineering practices to reduce systemic fragility </w:t>
        <w:br/>
        <w:t xml:space="preserve">and develop designs that </w:t>
        <w:br/>
        <w:t>degrade and recover effectively when successfully attacked.</w:t>
      </w:r>
    </w:p>
    <w:p>
      <w:pPr>
        <w:pStyle w:val="TextBody"/>
        <w:bidi w:val="0"/>
        <w:spacing w:before="113" w:after="113"/>
        <w:ind w:left="113" w:right="113" w:hanging="0"/>
        <w:jc w:val="left"/>
        <w:rPr>
          <w:highlight w:val="lightGray"/>
        </w:rPr>
      </w:pPr>
      <w:r>
        <w:rPr>
          <w:highlight w:val="lightGray"/>
        </w:rPr>
        <w:t>Reference 13 - 0.17% Coverage</w:t>
      </w:r>
    </w:p>
    <w:p>
      <w:pPr>
        <w:pStyle w:val="TextBody"/>
        <w:bidi w:val="0"/>
        <w:spacing w:before="0" w:after="0"/>
        <w:jc w:val="left"/>
        <w:rPr/>
      </w:pPr>
      <w:r>
        <w:rPr/>
        <w:t>The United States Government will also promote regular testing and exercising of the cybersecurity and resilience of products and systems during development using best practices from forward-leaning industries.</w:t>
      </w:r>
    </w:p>
    <w:p>
      <w:pPr>
        <w:pStyle w:val="TextBody"/>
        <w:bidi w:val="0"/>
        <w:spacing w:before="113" w:after="113"/>
        <w:ind w:left="113" w:right="113" w:hanging="0"/>
        <w:jc w:val="left"/>
        <w:rPr>
          <w:highlight w:val="lightGray"/>
        </w:rPr>
      </w:pPr>
      <w:r>
        <w:rPr>
          <w:highlight w:val="lightGray"/>
        </w:rPr>
        <w:t>Reference 14 - 0.16% Coverage</w:t>
      </w:r>
    </w:p>
    <w:p>
      <w:pPr>
        <w:pStyle w:val="TextBody"/>
        <w:bidi w:val="0"/>
        <w:spacing w:before="0" w:after="0"/>
        <w:jc w:val="left"/>
        <w:rPr/>
      </w:pPr>
      <w:r>
        <w:rPr/>
        <w:t>This includes promotion and use of coordinated vulnerability disclosure, crowd-sourced testing, and other innovative assessments that improve resiliency ahead of exploitation or attack.</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