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Files\\2011 Case Study\\Primary Sources_Policy_Strategies\\2009 Cyberspace Policy Review Assuring a Trusted and R - § 1 reference coded [ 0.04% Coverage]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1 - 0.04% Coverage</w:t>
      </w:r>
    </w:p>
    <w:p>
      <w:pPr>
        <w:pStyle w:val="TextBody"/>
        <w:bidi w:val="0"/>
        <w:spacing w:before="0" w:after="0"/>
        <w:jc w:val="left"/>
        <w:rPr/>
      </w:pPr>
      <w:r>
        <w:rPr/>
        <w:t>The first popular computers for the mass consumer market first emerged in the early 1980s, coincident in time with the emergence of the Internet as a global network-of-networks</w:t>
      </w:r>
    </w:p>
    <w:sectPr>
      <w:type w:val="nextPage"/>
      <w:pgSz w:w="12240" w:h="15840"/>
      <w:pgMar w:left="1134" w:right="567" w:header="0" w:top="567" w:footer="0" w:bottom="567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Songti SC" w:cs="Arial Unicode M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LibreOffice/6.4.7.2$MacOSX_X86_64 LibreOffice_project/639b8ac485750d5696d7590a72ef1b496725cfb5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