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Despite the recognition that our security is increasingly tied to building partner capacity, our security assistance tool kit has not kept pace.</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1 reference coded [ 0.32% Coverage]</w:t>
      </w:r>
    </w:p>
    <w:p>
      <w:pPr>
        <w:pStyle w:val="TextBody"/>
        <w:bidi w:val="0"/>
        <w:spacing w:before="113" w:after="113"/>
        <w:ind w:left="113" w:right="113" w:hanging="0"/>
        <w:jc w:val="left"/>
        <w:rPr>
          <w:highlight w:val="lightGray"/>
        </w:rPr>
      </w:pPr>
      <w:r>
        <w:rPr>
          <w:highlight w:val="lightGray"/>
        </w:rPr>
        <w:t>Reference 1 - 0.32% Coverage</w:t>
      </w:r>
    </w:p>
    <w:p>
      <w:pPr>
        <w:pStyle w:val="TextBody"/>
        <w:bidi w:val="0"/>
        <w:spacing w:before="0" w:after="0"/>
        <w:jc w:val="left"/>
        <w:rPr/>
      </w:pPr>
      <w:r>
        <w:rPr/>
        <w:t>Further, the development of burden sharing arrangements can play to each nation’s core strengths and capabilities; this will bolster areas where partners are less proficient, increase capacity, and strengthen collective cybersecurity.</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2 references coded [ 0.28%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International information infrastructures continue to mature and expand, providing more nations with the opportunity to access the global flow of information~ The growth of the networks worldwide, and expansion of access to them, enriches the world community</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supporting a variety of programs to help other nations gain the resources and skills to build core capacities in technology and cybersecurity~</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 xml:space="preserve">We will maintain this superiority and the </w:t>
        <w:br/>
        <w:t>capacity to extend these competitive advantages to others – our unique capabilities amplify their efforts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These partnerships also facilitate the growth of prosperity around the world, from which all nations benefit.</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4 references coded [ 0.44%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Our opening to Cuba will enhance our engagement in our own hemisphere, where there are enormous opportunities to consolidate gains in pursuit of peace, prosperity, democracy, and energy security.</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will also capitalize on the potential to end extreme poverty and build upon our comparative advantages in innovation, science and technology, entrepreneurship, and greater energy security.</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Moreover, the American consumer cannot sustain global demand—growth must be more balanced. To meet this challenge, we must be strategic in the use of our economic strength to set new rules of the road, strengthen our partnerships, and promote inclusive development.</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All countries will benefit when we open markets further, extend and enhance tools such as the African Growth and Opportunity Act (AGOA), and reduce inefficiencies in the global trading system through trade facilitation improvements.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 references coded [ 0.13%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Rebuilding economic strength at home and preserving a fair and reciprocal international economic system will enhance our security and advance prosperity and peace in the world.</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 xml:space="preserve">They resulted in mutually beneficial relationships in which the United States helped s t ates mobi l i ze their own resources to achieve transitions to growth and stability . Working with these countries made the United States wealthier and </w:t>
        <w:br/>
        <w:t>more competitive.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