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Our agreements will contain achievable enforcement mechanisms to ensure that the gains we negotiate are in fact realized and will be structured to reflect U.S. interests, especially on labor and environment.</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Despite the recognition that our security is increasingly tied to building partner capacity, our security assistance tool kit has not kept pace.</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[ 0.32%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Further, the development of burden sharing arrangements can play to each nation’s core strengths and capabilities; this will bolster areas where partners are less proficient, increase capacity, and strengthen collective cybersecurity.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[ 0.79%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New technologies improving agriculture or promoting public health are shared with those in greatest need, and difficult problems benefit from global collaboration among experts and innovators~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BodyText"/>
        <w:bidi w:val="0"/>
        <w:spacing w:before="0" w:after="0"/>
        <w:ind w:hanging="0" w:left="150" w:right="150"/>
        <w:jc w:val="left"/>
        <w:rPr>
          <w:shd w:fill="D3D3D3" w:val="clear"/>
        </w:rPr>
      </w:pPr>
      <w:r>
        <w:rPr>
          <w:shd w:fill="D3D3D3" w:val="clear"/>
        </w:rPr>
        <w:t>Reference 3 - 0.27% Coverage</w:t>
      </w:r>
    </w:p>
    <w:p>
      <w:pPr>
        <w:pStyle w:val="BodyText"/>
        <w:bidi w:val="0"/>
        <w:spacing w:before="0" w:after="0"/>
        <w:jc w:val="left"/>
        <w:rPr/>
      </w:pPr>
      <w:r>
        <w:rPr/>
        <w:t>International information infrastructures continue to mature and expand, providing more nations with the opportunity to access the global flow of information~ The growth of the networks worldwide, and expansion of access to them, enriches the world community, yet also presents new challenges and opportunities for collaboration on issues of traditional and cybersecurity~</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The benefits of an interconnected world should not be limited by national borders~ For over a decade the United States has helped bridge that gap, supporting a variety of programs to help other nations gain the resources and skills to build core capacities in technology and cybersecurity~</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 xml:space="preserve">We will maintain this superiority and the </w:t>
        <w:br/>
        <w:t>capacity to extend these competitive advantages to others – our unique capabilities amplify their efforts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These partnerships also facilitate the growth of prosperity around the world, from which all nations benefit.</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[ 0.44%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Our opening to Cuba will enhance our engagement in our own hemisphere, where there are enormous opportunities to consolidate gains in pursuit of peace, prosperity, democracy, and energy security.</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We will also capitalize on the potential to end extreme poverty and build upon our comparative advantages in innovation, science and technology, entrepreneurship, and greater energy security.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Moreover, the American consumer cannot sustain global demand—growth must be more balanced. To meet this challenge, we must be strategic in the use of our economic strength to set new rules of the road, strengthen our partnerships, and promote inclusive development.</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[ 0.13%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Rebuilding economic strength at home and preserving a fair and reciprocal international economic system will enhance our security and advance prosperity and peace in the world.</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 xml:space="preserve">They resulted in mutually beneficial relationships in which the United States helped s t ates mobi l i ze their own resources to achieve transitions to growth and stability . Working with these countries made the United States wealthier and </w:t>
        <w:br/>
        <w:t>more competitive.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[ 0.22%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also will partner with like-minded nations to co-develop and deploy technologies in a way that benefits all, not only the powerful, and build robust and durable supply chains so that countries cannot use economic warfare to coerce others.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Taken together, these efforts will create growth and innovation that benefits not only Americans, but people around the world.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t>
      </w:r>
      <w:r>
        <w:rPr/>
        <w:t>There’s a fundamental truth of the 21st century within each of our own countries and as a global community that our own success is bound up with others succeeding as well.</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Ending and mitigating the effects of the COVID-19 pandemic and advancing health security are imperative for the wellbeing of the entire hemisphere.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[ 0.96%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We will share our best practices regarding vulnerability mitigation, workforce development, and operational planning while seeking to learn from the best practices of our Allies and partners.</w:t>
      </w:r>
    </w:p>
    <w:p>
      <w:pPr>
        <w:pStyle w:val="BodyText"/>
        <w:bidi w:val="0"/>
        <w:spacing w:before="0" w:after="0"/>
        <w:ind w:hanging="0" w:left="150" w:right="150"/>
        <w:jc w:val="left"/>
        <w:rPr>
          <w:shd w:fill="D3D3D3" w:val="clear"/>
        </w:rPr>
      </w:pPr>
      <w:r>
        <w:rPr>
          <w:shd w:fill="D3D3D3" w:val="clear"/>
        </w:rPr>
        <w:t>Reference 2 - 0.71% Coverage</w:t>
      </w:r>
    </w:p>
    <w:p>
      <w:pPr>
        <w:pStyle w:val="BodyText"/>
        <w:bidi w:val="0"/>
        <w:spacing w:before="0" w:after="0"/>
        <w:jc w:val="left"/>
        <w:rPr/>
      </w:pPr>
      <w:r>
        <w:rPr/>
        <w:t>Since 2018, the Department has regularly worked with our Allies and partners to help identify vulnerabilities on their government-operated networks. These operations and assessments, conducted by USCYBERCOM, have aided U.S. cybersecurity preparedness, contributed to the warfighting capability of the Joint Force, and established or enhanced strong information-sharing relationships with a number of nations, including Ukraine. They have also bolstered the cyber resilience of Allies and partners by exposing hostile TTPs and malware.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[ 0.35%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As recent cyberattacks against Costa Rica, Albania, and Montenegro have demonstrated, allies and partners who fall victim to a significant cyberattack may seek support from the United States and allied and partner nations to investigate, responding to, and recover from such incidents. Providing this support will not only assist with partner recovery and response, but will also advance U.S. foreign policy and cybersecurity goals.</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 xml:space="preserve">As one example, the United States is leading a North Atlantic Treaty Organization (NATO) effort to build a virtual cyber incident </w:t>
        <w:br/>
        <w:t xml:space="preserve">31 NAT I ONAL CY B E RS E CU RI T Y S T RATEGY </w:t>
        <w:br/>
        <w:t xml:space="preserve">      </w:t>
        <w:br/>
        <w:t>support capability that enables Allies to more effectively and efficiently support each other in response to significant malicious cyber activities.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