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1 reference coded [ 0.32%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1 - 0.32%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Further, the development of burden sharing arrangements can play to each nation’s core strengths and capabilities; this will bolster areas where partners are less proficient, increase capacity, and strengthen collective cybersecurity.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We will maintain this superiority and the </w:t>
        <w:br/>
        <w:t>capacity to extend these competitive advantages to others – our unique capabilities amplify their efforts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[ 0.28%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information infrastructures continue to mature and expand, providing more nations with the opportunity to access the global flow of information~ The growth of the networks worldwide, and expansion of access to them, enriches the world community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supporting a variety of programs to help other nations gain the resources and skills to build core capacities in technology and cybersecurity~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Despite the recognition that our security is increasingly tied to building partner capacity, our security assistance tool kit has not kept pace.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