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4 references coded [ 0.09%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cybersecurity-related agreements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seeking common ground.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supporting arms control and nonproliferation agreements;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remains committed to working with the international community to support implementation of outstanding elements of the Comprehensive Peace Agreement and ensure that the referendum on the future of Southern Sudan in 2011 happens on time and that its results are respected.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As one key effort in the sea domain, for example, we will pursue ratification of the United Nations Convention on the Law of the Sea.</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clear agreement among like-minded countries~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 references coded [ 0.09%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defense agreements across regions.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 forces will continue to implement the U.S.-Iraq Security Agreement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Integral to the U.S.-Iraq Security Agreement</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U.S.-Iraq Security Agreement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agreements;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remain steadfastly committed to the security commitments embodied in these agreements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status-protection agreements and arrangements with allies and key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With Japan, we will continue to implement the bilateral Realignment Roadmap agreement</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Security Framework Agreement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agreements with African allies and partners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