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 xml:space="preserve">The strategy would assist government efforts to raise public awareness, renew </w:t>
        <w:br/>
        <w:t>and build international alliances and public-private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military 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 with allies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major allies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31 references coded [ 1.20%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sturdy alliances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cornerstone of this engagement is the relationship between the United States and our close friends and allies in Europe, Asia, the Americas, and the Middle East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mobilize international coalitions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strong alliances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Engagement begins with our closest friends and allies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 foundation of United States, regional, and global security will remain America’s relations with our allies, and our commitment to their security is unshakable</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22 - 0.09%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23 - 0.07%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25 - 0.08%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Asia-Pacific region. We will continue to deepen and update these alliances to reflect the dynamism of the region and strategic trends of the 21st century.</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These alliances have preserved a hard-earned peace and strengthened the bridges of understanding across the Pacific Ocean in the second half of the 20th century,</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30 - 0.07%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[ 1.15%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strengthened relationships with allies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NATO will remain the most powerful military alliance, though some of its states are reducing defense spending as part of broader austerity measures.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attack the United States and our allies.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13 - 0.16%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16 - 0.18%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18 - 0.19% Coverage</w:t>
      </w:r>
    </w:p>
    <w:p>
      <w:pPr>
        <w:pStyle w:val="TextBody"/>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TextBody"/>
        <w:bidi w:val="0"/>
        <w:spacing w:before="113" w:after="113"/>
        <w:ind w:left="113" w:right="113" w:hanging="0"/>
        <w:jc w:val="left"/>
        <w:rPr>
          <w:highlight w:val="lightGray"/>
        </w:rPr>
      </w:pPr>
      <w:r>
        <w:rPr>
          <w:highlight w:val="lightGray"/>
        </w:rPr>
        <w:t>Reference 19 - 0.15% Coverage</w:t>
      </w:r>
    </w:p>
    <w:p>
      <w:pPr>
        <w:pStyle w:val="TextBody"/>
        <w:bidi w:val="0"/>
        <w:spacing w:before="0" w:after="0"/>
        <w:jc w:val="left"/>
        <w:rPr/>
      </w:pPr>
      <w:r>
        <w:rPr/>
        <w:t>As our presence and alliance commitments remain the key to preserving stability in Northeast Asia, we must also invest new attention and resources in Southeast and South Asia.</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We will make our alliance a model for interoperability, transparency, and meaningful combined fullspectrum activities.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[ 0.21%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Build and enhance existing military alliances to confront potential threats in cyberspace.</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interconnected nature of networked systems of our closest allies, such as those of NATO and its member states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Such military alliances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24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system of alliances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integrity of U.S. alliances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rapid growth in sea- and land-based ballistic missile defense capabilities will help meet the needs of combatant commanders and allies in several regions.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key allies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allies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