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23 references coded [ 0.47%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 xml:space="preserve">ent </w:t>
        <w:br/>
        <w:t xml:space="preserve">9. </w:t>
        <w:br/>
        <w:t>In collaboration with other EOP enti</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opportunities to improve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collaborative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collaboratively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in collaboration with State, local, and tribal governments and industry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in collaboration with industry and the civil liberties and privacy community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International collaboration makes effective government-private sector collaboration in the United States more challenging.</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encouragement of collaboration between academic and industrial laboratories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in collaboration with the private sector and other stakeholders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the government must foster an environment for collaboration</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opportunities for collaboration between agencies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required NIST to collaborate with NSA</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Following on this research, international packet switching network standards were developed in collaboration with entities in other countries under the auspices of the ITU</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15 references coded [ 0.71%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[ 1.11%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Internet was designed to be collaborative,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A collaborative national effort will develop common and workable solutions to policy problems that both increase cybersecurity and further the public good.</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Efforts to disrupt illicit trafficking sources and transit zones must be coordinated across North, Central and South America, and the Caribbean.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Preparation is indispensable when conditions demand collaboration.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31 references coded [ 1.24%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When a crime is committed internationally, law enforcement agencies are able to collaborate to safeguard and share evidence and bring individuals to justice~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To sustain this environment, international collaboration is more than a best practice; it is a first principle~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meaningful collaboration with the private sector at home and abroad~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build collaboration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Private Sector Collaboration~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Today, through existing and developing collaborations in the technical and military defense arenas, nations share an unprecedented ability to recognize and respond to incidents</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opportunities for collaboration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defense collaboration,</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collaboration on issues of mutual concern~</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collaboration within our government, with international partners, and with the private sector</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multi-stakeholder collaboration</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collaborating, together with the private sector,</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international collaboration</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Extending Collaboration</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collaboration to combat crimes in cyberspace~</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expand these collaborations,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work to build new collaborations in the coming years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collaborative science and technology research</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Achieving the Department’s strategic objectives requires close collaboration with counterparts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Effective strategic communication requires close collaboration across interagency lines at all stages,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outline a common vision of interagency collaboration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Achieving the Department’s strategic objectives requires close collaboration with key counterparts at home and with allies and partners abroad.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