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23 references coded [ 0.47%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 xml:space="preserve">ent </w:t>
        <w:br/>
        <w:t xml:space="preserve">9. </w:t>
        <w:br/>
        <w:t>In collaboration with other EOP enti</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opportunities to improve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collaborative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collaboratively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in collaboration with State, local, and tribal governments and industry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in collaboration with industry and the civil liberties and privacy community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International collaboration makes effective government-private sector collaboration in the United States more challenging.</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encouragement of collaboration between academic and industrial laboratories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in collaboration with the private sector and other stakeholders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the government must foster an environment for collaboration</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opportunities for collaboration between agencies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required NIST to collaborate with NSA</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Following on this research, international packet switching network standards were developed in collaboration with entities in other countries under the auspices of the ITU</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[ 0.74%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coordinating better with foreign partners to identify, track, limit access to funding, and prevent terrorist travel.</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[ 1.11%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Internet was designed to be collaborative,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A collaborative national effort will develop common and workable solutions to policy problems that both increase cybersecurity and further the public good.</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Efforts to disrupt illicit trafficking sources and transit zones must be coordinated across North, Central and South America, and the Caribbean.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Preparation is indispensable when conditions demand collaboration.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31 references coded [ 1.24%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When a crime is committed internationally, law enforcement agencies are able to collaborate to safeguard and share evidence and bring individuals to justice~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To sustain this environment, international collaboration is more than a best practice; it is a first principle~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meaningful collaboration with the private sector at home and abroad~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build collaboration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Private Sector Collaboration~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Today, through existing and developing collaborations in the technical and military defense arenas, nations share an unprecedented ability to recognize and respond to incidents</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opportunities for collaboration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defense collaboration,</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collaboration on issues of mutual concern~</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collaboration within our government, with international partners, and with the private sector</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multi-stakeholder collaboration</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collaborating, together with the private sector,</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international collaboration</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Extending Collaboration</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collaboration to combat crimes in cyberspace~</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expand these collaborations,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work to build new collaborations in the coming years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collaborative science and technology research</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Achieving the Department’s strategic objectives requires close collaboration with counterparts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Effective strategic communication requires close collaboration across interagency lines at all stages,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outline a common vision of interagency collaboration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Achieving the Department’s strategic objectives requires close collaboration with key counterparts at home and with allies and partners abroad.</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12 references coded [ 1.84%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each pose serious security concerns which the international community is working to collectively address by way of common policies, shared messages, and coordinated action.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Hybrid conflicts serve to increase ambiguity, complicate decision-making, and slow the coordination of effective responses.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militarily sustainable manner that optimizes the power of coalitions, as we are demonstrating in Afghanistan and Iraq.</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Similarly, in Iraq a broad coalition of over 60 nations is providing security assistance, training, airlift, and strike support in its struggle against ISIL.</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Through such activities, we coordinate with other U.S. agencies and mission partners to build cultural awareness and affirm relationships that increase regional stability.</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 xml:space="preserve">The best </w:t>
        <w:br/>
        <w:t>way to counter VEOs is by way of sustained pressure using local forces augmented by specialized U.S. and coalition military strengths</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Counterterrorism operations also involve coordinated efforts with other U.S. agencies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 xml:space="preserve">The U.S. military also remains </w:t>
        <w:br/>
        <w:t>ready to conduct limited stability operations when required, working with interagency, coalition, and host-nation forces.</w:t>
      </w:r>
    </w:p>
    <w:p>
      <w:pPr>
        <w:pStyle w:val="TextBody"/>
        <w:bidi w:val="0"/>
        <w:spacing w:before="113" w:after="113"/>
        <w:ind w:left="113" w:right="113" w:hanging="0"/>
        <w:jc w:val="left"/>
        <w:rPr>
          <w:highlight w:val="lightGray"/>
        </w:rPr>
      </w:pPr>
      <w:r>
        <w:rPr>
          <w:highlight w:val="lightGray"/>
        </w:rPr>
        <w:t>Reference 12 - 0.20% Coverage</w:t>
      </w:r>
    </w:p>
    <w:p>
      <w:pPr>
        <w:pStyle w:val="TextBody"/>
        <w:bidi w:val="0"/>
        <w:spacing w:before="0" w:after="0"/>
        <w:jc w:val="left"/>
        <w:rPr/>
      </w:pPr>
      <w:r>
        <w:rPr/>
        <w:t>Additionally, we are more fully coordinating requirements, plans, and operational execution at home and abroad to maximize collective capabilities against common concerns.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10 references coded [ 0.94%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mobilizing the international community to meet the urgent challenges posed by climate change and infectious disease.</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It also requires international support, which is why we are leading an unprecedented international coalition to work with the Iraqi government and strengthen its military to regain sovereignty.</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We will work with the U.N. and our Arab and European partners in an effort to help stabilize Libya and reduce the threat posed by lawless militias and extremists.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Such collaboration is especially important in vulnerable countries like Guatemala, El Salvador, and Honduras, where government institutions are threatened by criminal syndicates.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continue to collaborate with established and emerging powers to promote our shared security and defend our common humanity</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14 references coded [ 2.82%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This collaboration and research identified a small subset of entities in several critical infrastructure sectors where a cybersecurity incident and its second or third-order effects could result in catastrophic regional or national effects on public health or safety, economic security, or national security.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public-private collaboration is also shaping the government’s planning, mitigation, and response efforts in the event of significant cyber incidents.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w:t>
      </w:r>
    </w:p>
    <w:p>
      <w:pPr>
        <w:pStyle w:val="TextBody"/>
        <w:bidi w:val="0"/>
        <w:spacing w:before="113" w:after="113"/>
        <w:ind w:left="113" w:right="113" w:hanging="0"/>
        <w:jc w:val="left"/>
        <w:rPr>
          <w:highlight w:val="lightGray"/>
        </w:rPr>
      </w:pPr>
      <w:r>
        <w:rPr>
          <w:highlight w:val="lightGray"/>
        </w:rPr>
        <w:t>Reference 5 - 0.26% Coverage</w:t>
      </w:r>
    </w:p>
    <w:p>
      <w:pPr>
        <w:pStyle w:val="TextBody"/>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7 - 0.31%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 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Administration views forums for agile interagency coordination, like the CRG as a linchpin in the government’s response capabilities.</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 10 - 0.30% Coverage</w:t>
      </w:r>
    </w:p>
    <w:p>
      <w:pPr>
        <w:pStyle w:val="TextBody"/>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12 - 0.27%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TextBody"/>
        <w:bidi w:val="0"/>
        <w:spacing w:before="113" w:after="113"/>
        <w:ind w:left="113" w:right="113" w:hanging="0"/>
        <w:jc w:val="left"/>
        <w:rPr>
          <w:highlight w:val="lightGray"/>
        </w:rPr>
      </w:pPr>
      <w:r>
        <w:rPr>
          <w:highlight w:val="lightGray"/>
        </w:rPr>
        <w:t>Reference 14 - 0.14% Coverage</w:t>
      </w:r>
    </w:p>
    <w:p>
      <w:pPr>
        <w:pStyle w:val="TextBody"/>
        <w:bidi w:val="0"/>
        <w:spacing w:before="0" w:after="0"/>
        <w:jc w:val="left"/>
        <w:rPr/>
      </w:pPr>
      <w:r>
        <w:rPr/>
        <w:t>One example of such efforts is the United States Government’s collaboration with the private sector on implementing the National Strategy for Trusted Identities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