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13 references coded [ 0.63%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starting point for that collective action will be our engagement with other countries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have an interest in a just and sustainable international order that can foster collective action to confront common challenges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sustained outreach to foreign governments, political leaderships, and other critical constituencies that must commit the necessary capabilities and resources to enable effective, collective action.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we will continue to anchor our commitment in Article V, which is fundamental to our collective security</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5 references coded [ 0.81%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collective self-defense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strengthen collective cybersecurity.</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5 references coded [ 0.16%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collective self-defense in cyberspace~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collective</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increase collective security.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reduce collective risk,</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[ 0.65%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These reductions may impact partner nations’ contributions to our collective security</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Joint Force will adhere to conventions, laws, and regulations our Nation supports to underpin collective security and govern conduct.</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We expect to maintain a strong military presence in Northeast Asia for decades. We will work with the Japan Self-Defense Forces to improve their out-of-area operational capabilities as the nation adjusts its defense posture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mitigate collective risk</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 planning</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[ 0.25%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Building alliances, coalitions, and partnerships abroad.</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Strategically, a unified coalition sends a message that the United States and its allies and partners are aligned in collective defense.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[ 0.58%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Additionally, we are more fully coordinating requirements, plans, and operational execution at home and abroad to maximize collective capabilities against common concerns.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8 references coded [ 0.77%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To meet these challenges, we are working with Canada and Mexico to enhance our collective economic competitiveness while advancing prosperity in our hemisphere</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[ 0.44%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improve collective network defenses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5 references coded [ 0.34%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During the Cold War, a totalitarian threat from the Soviet Union motivated the free world to create coalitions in defense of liberty.</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Together, the United States and our allies and partners represent well over half of the global GDP. None of our adversaries have comparable coalitions.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China presents its ambitions as mutually beneficial, but Chinese dominance risks diminishing the sovereignty of many states in the IndoPacific. States throughout the region are calling for sustained U.S. leadership in a collective response that upholds a regional order respectful of sovereignty and independence.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In partnership with the private </w:t>
        <w:br/>
        <w:t xml:space="preserve">8 </w:t>
        <w:br/>
        <w:t>sector, we will collectively use a risk-management approach to mitigating vulnerabilities to raise the base level of cybersecurity across critical infrastructure.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