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mitigate collective risk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planning</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starting point for that collective action will be our engagement with other countries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have an interest in a just and sustainable international order that can foster collective action to confront common challenges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we will continue to anchor our commitment in Article V, which is fundamental to our collective security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[ 0.81%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collective self-defense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strengthen collective cybersecurity.</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[ 0.65%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These reductions may impact partner nations’ contributions to our collective security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We expect to maintain a strong military presence in Northeast Asia for decades. We will work with the Japan Self-Defense Forces to improve their out-of-area operational capabilities as the nation adjusts its defense posture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[ 0.16%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collective self-defense in cyberspace~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collective</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increase collective security.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reduce collective risk,</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