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interdependencies.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22 references coded [ 0.82%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commerce has stitched the fate of nations together;</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belief that our own interests are bound to the interests of those beyond our borders will continue to guide our engagement with nations and people</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ability to seize the opportunities of a world that has grown more interconnected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In the two decades since the end of the Cold War, the free flow of information, people, goods and services has accelerated at an unprecedented rate. This interconnection has empowered individuals for good and ill</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Within this environment, the attacks of September 11, 2001, were a transformative event for the United States, demonstrating just how much trends far beyond our shores could directly endanger the personal safety of the American people.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As the world grows more interconnected, more individuals are gaining awareness of their universal rights and have the capacity to pursue them.</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interdependence,</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To promote prosperity for all Americans, we will need to lead the international community to expand the inclusive growth of the integrated, global economy</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The growth of emerging economies in recent decades has lifted people out of poverty and forged a more interconnected and vibrant global economy.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Our mutual prosperity is closely interconnected, including through our trade relationship with Mexico through NAFTA.</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The threat of contagious disease transcends political boundaries, and the ability to prevent, quickly detect and contain outbreaks with pandemic potential has never been so</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important. An epidemic that begins in a single community can quickly evolve into a multinational health crisis that causes millions to suffer, as well as spark major disruptions to travel and trade.</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Recognizing that the health of the world’s population has never been more interdependent, we are improving our public health and medical capabilities on the front lines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interdependent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interplay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 today’s complex and interdependent security environment, these dimensions of the U.S. defense strategy have never been more important.</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3 references coded [ 0.34%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threats that are exacerbated by the globalization of travel, food production and supply, and medical products</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In a globally connected world, cybersecurity is one of the most serious national security concerns that the United States and its allies face in the 21st century.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