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22 references coded [ 0.97%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shape an international order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This engagement will underpin our commitment to an international order based upon rights and responsibilities.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Our engagement will underpin a just and sustainable international order</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 17 - 0.17% Coverage</w:t>
      </w:r>
    </w:p>
    <w:p>
      <w:pPr>
        <w:pStyle w:val="TextBody"/>
        <w:bidi w:val="0"/>
        <w:spacing w:before="0" w:after="0"/>
        <w:jc w:val="left"/>
        <w:rPr/>
      </w:pPr>
      <w:r>
        <w:rPr/>
        <w:t>International Order “As President of the United States, I will work tirelessly to protect America’s security and to advance our interests. But no one nation can meet the challenges of the 21st century on its own, nor dictate its terms to the world. 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his international order will support our efforts to advance security, prosperity, and universal values, but it is also an end that we seek in its own right. 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we will act based upon mutual respect and in a manner that continues to strengthen an international order that benefits all responsible international actors.</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distinct shift in our global international order toward greater cooperation</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[ 0.32%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 advances our common values~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7 references coded [ 0.09%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broader international system—a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promoting an international order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stewardship of the international system</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The rise of new powers, the growing influence of non-state actors, the spread of weapons of mass destruction and other destructive technologies, and a series of enduring and emerging socioeconomic trends will continue to pose profound challenges to international order.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