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continue to work regionally and with like-minded partners in order to advance negotiations that address the permanent-status issues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like-minded nations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Department will therefore strengthen its relationships with allies and like-minded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likeminded allies and partners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We will continue to work with this community of like-minded nations,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 references coded [ 0.03%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like-minded countries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like-minded states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like-minded nations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bring like-minded nations together on a host of issues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[ 0.23%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work with like-minded partners to build support for tools of economic diplomacy against shared threats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We support, with our words and actions, those who live under oppressive regimes and who seek freedom, individual dignity, and the rule of law.</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[ 0.44%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