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[ 0.69%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t>
      </w:r>
      <w:r>
        <w:rPr/>
        <w:t>More than at any point in human history—the interests of nations and peoples are shared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advance common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on the basis of mutual interests and mutual respect.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just, because it advances mutual interests,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advance our own interests by serving mutual interests.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galvanizing sense of shared interest.</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drive wedges between us and those who share our interests.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Third, 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will cultivate an enduring relationship with Iraq based on mutual interests and mutual respect.</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mutual interests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work to advance these mutual interests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But disagreements should not prevent cooperation on issues of mutual interest,</w:t>
      </w:r>
    </w:p>
    <w:p>
      <w:pPr>
        <w:pStyle w:val="TextBody"/>
        <w:bidi w:val="0"/>
        <w:spacing w:before="113" w:after="113"/>
        <w:ind w:left="113" w:right="113" w:hanging="0"/>
        <w:jc w:val="left"/>
        <w:rPr>
          <w:highlight w:val="lightGray"/>
        </w:rPr>
      </w:pPr>
      <w:r>
        <w:rPr>
          <w:highlight w:val="lightGray"/>
        </w:rPr>
        <w:t>Reference 20 - 0.06%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will work to pursue shared interests in Africa’s security, growth, and the development of Africa’s human capital.</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[ 0.48%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Given the dynamism of cyberspace, nations must work together to defend their common interests and promote security</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[ 0.53%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n some cases, we will serve in an enabling capacity to help other nations achieve security goals that can advance common interests.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promote common interests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To safeguard U.S. and partner nation interests,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[ 0.21%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collective interest~</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must advance the common interest</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United States has a shared interest in assisting less developed nations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serves collective interests~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engaging abroad on the basis of mutual</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mutual interest and respect.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