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7 references coded [ 0.21%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These venues consider policies and conduct activities that sometimes conflict and often overlap.</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Agreements, standards, or practices promulgated in these organizations have global effects and cannot be ignored.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[ 0.51%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organizations,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7 - 0.16% Coverage</w:t>
      </w:r>
    </w:p>
    <w:p>
      <w:pPr>
        <w:pStyle w:val="TextBody"/>
        <w:bidi w:val="0"/>
        <w:spacing w:before="0" w:after="0"/>
        <w:jc w:val="left"/>
        <w:rPr/>
      </w:pPr>
      <w:r>
        <w:rPr/>
        <w:t>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[ 0.71%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we must play a supporting role in facilitating U.S. government agencies and other organizations’ efforts to advance our Nation’s interests.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economic and security mechanisms, such as the South American Defense Council.</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Security assistance encompasses a group of programs through which we provide defense articles and services to international organizations and foreign governments in support of national policies and objectives.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17 references coded [ 0.70%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Regional organizations have been particularly effective at tackling cybersecurity problems specific to their members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We will continue to use our membership in these organizations, as well as in broader international organizations, to develop productive agendas that are appropriate to each organization’s expertise and that realize concrete benefits for members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Internationally, law enforcement organizations must work in concert with one another whenever possible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An increasing number of international organizations are taking up cybersecurity and other cyberspace issues,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intergovernmental and nongovernmental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organizations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nongovernment organizations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nongovernmental organizations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and regional organizations,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