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 references coded [ 0.21%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These venues consider policies and conduct activities that sometimes conflict and often overlap.</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[ 0.51%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7 - 0.16% Coverage</w:t>
      </w:r>
    </w:p>
    <w:p>
      <w:pPr>
        <w:pStyle w:val="TextBody"/>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economic and security mechanisms, such as the South American Defense Council.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[ 0.70%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Regional organizations have been particularly effective at tackling cybersecurity problems specific to their members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Internationally, law enforcement organizations must work in concert with one another whenever possible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An increasing number of international organizations are taking up cybersecurity and other cyberspace issues,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intergovernmental and nongovernmental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nongovernment organizations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nongovernmental organizations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and regional organizations,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[ 0.59%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We also will continue to support our NATO partners to increase their interoperability with U.S. forces and to provide for their own defense.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14 references coded [ 1.43%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We will continue to bolster the capacity of the U.N. and regional organizations to help resolve disputes, build resilience to crises and shocks, strengthen governance, end extreme poverty, and increase prosperity</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also support the early conclusion of an effective code of conduct for the South China Sea between China and the Association of Southeast Asian States (ASEAN).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organizational accomplishments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Civil society organizations often drive innovations and develop new ideas and approaches to solve social, economic, and political problems that governments can apply on a larger scale.</w:t>
      </w:r>
    </w:p>
    <w:p>
      <w:pPr>
        <w:pStyle w:val="TextBody"/>
        <w:bidi w:val="0"/>
        <w:spacing w:before="113" w:after="113"/>
        <w:ind w:left="113" w:right="113" w:hanging="0"/>
        <w:jc w:val="left"/>
        <w:rPr>
          <w:highlight w:val="lightGray"/>
        </w:rPr>
      </w:pPr>
      <w:r>
        <w:rPr>
          <w:highlight w:val="lightGray"/>
        </w:rPr>
        <w:t>Reference 13 - 0.10%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We will support partners such as Georgia, Moldova, and Ukraine so they can better work alongside the United States and NATO, as well as provide for their own defense.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private sector-developed and operated Information Sharing and Analysis Organizations (ISAOs).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This adoption means that many organizations are raising their overall cybersecurity baseline by implementing standards-based measures to protect their most sensitive information,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rules of the World Trade Organization</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multilateral confidence-building measures in the Organization for Security and Cooperation in Europe.</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