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25 references coded [ 0.42%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publicprivate partnership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public-private partnership for cybersecurity must evolve to define clearly the nature of the relationship, including the roles and responsibilities of each of the partners.2</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Federal government through partnerships with the private sector and academia needs to articulate coordinated national information and communications infrastructure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working with State and local partners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public-private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Improve Partnership Between Private Sector and Government</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effective public-private partnerships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Partner Effectively With the International Community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intelligence partners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the Federal government should coordinate and expand international partnerships to address the full range of cybersecurity-related activities, policies, and opportunities associated with the information and communications infrastructure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63 references coded [ 2.40%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will also pursue diplomacy and development that supports the emergence of new and successful partners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increased commerce and private sector partnerships.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we can strengthen the regional partners we need to help us stop conflicts and counter global criminal networks;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we are working with partners abroad to confront threats that often begin beyond our borders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22 - 0.06% Coverage</w:t>
      </w:r>
    </w:p>
    <w:p>
      <w:pPr>
        <w:pStyle w:val="TextBody"/>
        <w:bidi w:val="0"/>
        <w:spacing w:before="0" w:after="0"/>
        <w:jc w:val="left"/>
        <w:rPr/>
      </w:pPr>
      <w:r>
        <w:rPr/>
        <w:t>First, our military and International Security Assistance Force (ISAF) partners within Afghanistan are targeting the insurgency, working to secure key population centers, and increasing efforts to train Afghan security forces.</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Second, we will continue to work with our partners, the United Nations, and the Afghan Government to improve accountable and effective governance. As we work to advance our strategic partnership with the Afghan Government, we are focusing assistance on supporting the President of Afghanistan and those ministries, governors, and local leaders who combat corruption and deliver for the people.</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also will strengthen our own network of partners to disable al-Qa’ida’s financial, human, and planning networks; disrupt terrorist operations before they mature; and address potential safe-havens before al-Qa’ida and its terrorist affiliates can take root.</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28 - 0.07%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We will work with our Iraqi partners to implement the Strategic Framework Agreement, with the Department of State taking the lead.</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We will continue to work regionally and with like-minded partners in order to advance negotiations that address the permanent-status issues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To invest in the capacity of strong and capable partners, we will work to:</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This requires investing now in the capable partners of the future;</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Expand International Science Partnerships</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outreach to the private sector and our foreign partners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44 - 0.03%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45 - 0.07%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46 - 0.09%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opportunities for partnership for the United States.</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We will seek greater partnership with Russia in confronting violent extremism, especially in Afghanistan.</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 52 - 0.08% Coverage</w:t>
      </w:r>
    </w:p>
    <w:p>
      <w:pPr>
        <w:pStyle w:val="TextBody"/>
        <w:bidi w:val="0"/>
        <w:spacing w:before="0" w:after="0"/>
        <w:jc w:val="left"/>
        <w:rPr/>
      </w:pPr>
      <w:r>
        <w:rPr/>
        <w:t>Indonesia—as the world’s fourth most populous country, a member of the G-20, and a democracy—will become an increasingly important partner on regional and transnational issues such as climate change, counterterrorism, maritime security, peacekeeping, and disaster relief.</w:t>
      </w:r>
    </w:p>
    <w:p>
      <w:pPr>
        <w:pStyle w:val="TextBody"/>
        <w:bidi w:val="0"/>
        <w:spacing w:before="113" w:after="113"/>
        <w:ind w:left="113" w:right="113" w:hanging="0"/>
        <w:jc w:val="left"/>
        <w:rPr>
          <w:highlight w:val="lightGray"/>
        </w:rPr>
      </w:pPr>
      <w:r>
        <w:rPr>
          <w:highlight w:val="lightGray"/>
        </w:rPr>
        <w:t>Reference 53 - 0.03%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54 - 0.03%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Reference 55 - 0.08%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Reference 56 - 0.04%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57 - 0.02% Coverage</w:t>
      </w:r>
    </w:p>
    <w:p>
      <w:pPr>
        <w:pStyle w:val="TextBody"/>
        <w:bidi w:val="0"/>
        <w:spacing w:before="0" w:after="0"/>
        <w:jc w:val="left"/>
        <w:rPr/>
      </w:pPr>
      <w:r>
        <w:rPr/>
        <w:t>The United States will work to remain an attractive and influential partner</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We are intensifying efforts with partners on and outside the U.N. Security Council to ensure timely, robust, and credible Council action to address threats to peace and security</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While we are pursuing G-8 initiatives with proven and long-standing partners,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forge new clean energy partnerships</w:t>
      </w:r>
    </w:p>
    <w:p>
      <w:pPr>
        <w:pStyle w:val="TextBody"/>
        <w:bidi w:val="0"/>
        <w:spacing w:before="113" w:after="113"/>
        <w:ind w:left="113" w:right="113" w:hanging="0"/>
        <w:jc w:val="left"/>
        <w:rPr>
          <w:highlight w:val="lightGray"/>
        </w:rPr>
      </w:pPr>
      <w:r>
        <w:rPr>
          <w:highlight w:val="lightGray"/>
        </w:rPr>
        <w:t>Reference 61 - 0.05% Coverage</w:t>
      </w:r>
    </w:p>
    <w:p>
      <w:pPr>
        <w:pStyle w:val="TextBody"/>
        <w:bidi w:val="0"/>
        <w:spacing w:before="0" w:after="0"/>
        <w:jc w:val="left"/>
        <w:rPr/>
      </w:pPr>
      <w:r>
        <w:rPr/>
        <w:t>But when international forces are needed to respond to threats and keep the peace, we will work with international partners to ensure they are ready, able, and willing.</w:t>
      </w:r>
    </w:p>
    <w:p>
      <w:pPr>
        <w:pStyle w:val="TextBody"/>
        <w:bidi w:val="0"/>
        <w:spacing w:before="113" w:after="113"/>
        <w:ind w:left="113" w:right="113" w:hanging="0"/>
        <w:jc w:val="left"/>
        <w:rPr>
          <w:highlight w:val="lightGray"/>
        </w:rPr>
      </w:pPr>
      <w:r>
        <w:rPr>
          <w:highlight w:val="lightGray"/>
        </w:rPr>
        <w:t>Reference 62 - 0.03% Coverage</w:t>
      </w:r>
    </w:p>
    <w:p>
      <w:pPr>
        <w:pStyle w:val="TextBody"/>
        <w:bidi w:val="0"/>
        <w:spacing w:before="0" w:after="0"/>
        <w:jc w:val="left"/>
        <w:rPr/>
      </w:pPr>
      <w:r>
        <w:rPr/>
        <w:t>These capabilities include our ability to work with international partners to mitigate and contain disease when necessary.</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9 references coded [ 1.84%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An enhanced partnership between DHS and DoD will improve national </w:t>
        <w:br/>
        <w:t>cybersecurity in three important ways.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DoD is also partnering with the Defense Industrial Base (DIB) to increase the protection of sensitive information.</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8 - 0.27%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24 references coded [ 2.69%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For all of these leadership approaches, we will pursue wider and more constructive partnerships.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sustain regional partnerships with responsible states to erode terrorists’ support and sources of legitimacy.</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politically sustainable through visible partnering efforts.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15 - 0.29% Coverage</w:t>
      </w:r>
    </w:p>
    <w:p>
      <w:pPr>
        <w:pStyle w:val="TextBody"/>
        <w:bidi w:val="0"/>
        <w:spacing w:before="0" w:after="0"/>
        <w:jc w:val="left"/>
        <w:rPr/>
      </w:pPr>
      <w:r>
        <w:rPr/>
        <w:t xml:space="preserve">With partner nation support, we </w:t>
        <w:br/>
        <w:t xml:space="preserve">Strengthening international and </w:t>
        <w:br/>
        <w:t xml:space="preserve">regional security requires that our </w:t>
        <w:br/>
        <w:t xml:space="preserve">forces be globallyavailable, yet </w:t>
        <w:br/>
        <w:t xml:space="preserve">regionally-focused. </w:t>
        <w:br/>
        <w:t>will preserve forward presence and access to the commons, bases, ports, and airfields commensurate with safeguarding our economic and security interests worldwide.</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We will also partner with Canada on regional security issues such as an evolving Arctic, and look to build an increasingly close security partnership with Mexico</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Our Nation seeks a long-term partnership with Iraq, including in security affairs.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Our Nation continues to embrace effective partnerships in Africa</w:t>
      </w:r>
    </w:p>
    <w:p>
      <w:pPr>
        <w:pStyle w:val="TextBody"/>
        <w:bidi w:val="0"/>
        <w:spacing w:before="113" w:after="113"/>
        <w:ind w:left="113" w:right="113" w:hanging="0"/>
        <w:jc w:val="left"/>
        <w:rPr>
          <w:highlight w:val="lightGray"/>
        </w:rPr>
      </w:pPr>
      <w:r>
        <w:rPr>
          <w:highlight w:val="lightGray"/>
        </w:rPr>
        <w:t>Reference 20 - 0.15% Coverage</w:t>
      </w:r>
    </w:p>
    <w:p>
      <w:pPr>
        <w:pStyle w:val="TextBody"/>
        <w:bidi w:val="0"/>
        <w:spacing w:before="0" w:after="0"/>
        <w:jc w:val="left"/>
        <w:rPr/>
      </w:pPr>
      <w:r>
        <w:rPr/>
        <w:t>the Joint Force will continue to build partner capacity in Africa, focusing on critical states where the threat of terrorism could pose a threat to our homeland and interests</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Reference 22 - 0.25%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To form better and more effective partnerships, we require more flexible resources, and less cumbersome processes.</w:t>
      </w:r>
    </w:p>
    <w:p>
      <w:pPr>
        <w:pStyle w:val="TextBody"/>
        <w:bidi w:val="0"/>
        <w:spacing w:before="113" w:after="113"/>
        <w:ind w:left="113" w:right="113" w:hanging="0"/>
        <w:jc w:val="left"/>
        <w:rPr>
          <w:highlight w:val="lightGray"/>
        </w:rPr>
      </w:pPr>
      <w:r>
        <w:rPr>
          <w:highlight w:val="lightGray"/>
        </w:rPr>
        <w:t>Reference 24 - 0.13% Coverage</w:t>
      </w:r>
    </w:p>
    <w:p>
      <w:pPr>
        <w:pStyle w:val="TextBody"/>
        <w:bidi w:val="0"/>
        <w:spacing w:before="0" w:after="0"/>
        <w:jc w:val="left"/>
        <w:rPr/>
      </w:pPr>
      <w:r>
        <w:rPr/>
        <w:t>Lending these niche capabilities to partners, or surging them in times of crisis, is the right partnering investment, and builds long-lasting goodwill.</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25 references coded [ 0.76%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continually seek new ways to strengthen our partnership with the private sector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collaboration with our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military treaty partners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defend our Nation, our allies, our partners, and our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our partners’ willingness to defend our networks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The United States will work with industry and international partners to develop best practices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successful partnerships between national law enforcement agencies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allies and partners to expand situational awareness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Such military alliances and partnerships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enhance partner capabilities,</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The United States will work in close partnership</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21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security partnerships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