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21 references coded [ 1.08%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Strengthening Security Relationships: 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modernizing our security relationships with both countries to face evolving 21st century global security challenges and to reflect the principle of equal partnership with the United States and to ensure a sustainable foundation for the U.S. military presence there.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We will continue to pursue a positive, constructive, and comprehensive relationship with China.</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a pragmatic and effective relationship between the United States and China is essential to address the major challenges of the 21st century.</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have an array of enduring interests, longstanding commitments and new opportunities for broadening and deepening relationships in the greater Middle East</w:t>
      </w:r>
    </w:p>
    <w:p>
      <w:pPr>
        <w:pStyle w:val="TextBody"/>
        <w:bidi w:val="0"/>
        <w:spacing w:before="113" w:after="113"/>
        <w:ind w:left="113" w:right="113" w:hanging="0"/>
        <w:jc w:val="left"/>
        <w:rPr>
          <w:highlight w:val="lightGray"/>
        </w:rPr>
      </w:pPr>
      <w:r>
        <w:rPr>
          <w:highlight w:val="lightGray"/>
        </w:rPr>
        <w:t>Reference 21 - 0.08%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[ 1.05%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highlight w:val="cyan"/>
        </w:rPr>
      </w:pPr>
      <w:r>
        <w:rPr>
          <w:highlight w:val="cyan"/>
        </w:rPr>
        <w:t>“</w:t>
      </w:r>
      <w:r>
        <w:rPr>
          <w:highlight w:val="cyan"/>
        </w:rPr>
        <w:t xml:space="preserve">Through its foreign defense relationships, the United States not only helps avert crises but also improves its effectiveness in responding to them.” </w:t>
        <w:br/>
        <w:t>- 2010 Quadrennial Defense Review</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8 references coded [ 0.97%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Military-tomilitary relationships must be reliable to be effective, and persevere through political upheavals or even disruption.</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relationships that support our broader national interests.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[ 0.27%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ongoing operational and policy relationships~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productive relationships with the domestic and international private sector and civil society~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Building Policy Relationships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facilitate relationships among countries developing cybersecurity capacity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8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the QDR highlights the importance of revitalizing defense relationships with allies and partners in key regions.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revitalizing key relationships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 xml:space="preserve">supports contingency response by </w:t>
        <w:br/>
        <w:t>improving our relationships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5 references coded [ 0.55%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Accordingly, we continue to invest in a substantial military-to-military relationship with China</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also will deepen our security relationship with India</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These build relationships that serve mutual security interests.</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Through such activities, we coordinate with other U.S. agencies and mission partners to build cultural awareness and affirm relationships that increase regional stability.</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10 references coded [ 0.75%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are primed to unlock the potential of our relationship with India.</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Finally, we will apply our distinct advantages in law enforcement, science and technology, and people-to-people relationships to maximize the strategic effects of our national power.</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developing countries now consume more energy than developed ones, which is altering energy flows and changing consumer relationships.</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Where prosecution is an option, we will bring terrorists to justice through both civilian and, when appropriate, reformed military commission proceedings that incorporate fundamental due process and other protections essential to the effective administration of justice.</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To realize this vision, we are diversifying our security relationships in Asia as well as our defense posture and presence</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We seek to develop a constructive relationship with China that delivers benefits for our two peoples and promotes security and prosperity in Asia and around the world.</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Our work with Europe leverages our strong and historic bilateral relationships throughout the continent.</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continue to transform our relationship with Turkey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[ 1.04%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Department of State uses its relationships with foreign governments to coordinate policy responses.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jc w:val="left"/>
        <w:rPr/>
      </w:pPr>
      <w:r>
        <w:rPr/>
        <w:t>building longterm cooperative relationships with many of those organizations.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QDR Quote: foreign defense relationships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