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21 references coded [ 1.08%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Third, 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will cultivate an enduring relationship with Iraq based on mutual interests and mutual respect.</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are transforming our relationship to one consistent with other strategic partners in the region.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Strengthening Security Relationships: 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We are modernizing our security relationships with both countries to face evolving 21st century global security challenges and to reflect the principle of equal partnership with the United States and to ensure a sustainable foundation for the U.S. military presence there.</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We will continue to pursue a positive, constructive, and comprehensive relationship with China.</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a pragmatic and effective relationship between the United States and China is essential to address the major challenges of the 21st century.</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We have an array of enduring interests, longstanding commitments and new opportunities for broadening and deepening relationships in the greater Middle East</w:t>
      </w:r>
    </w:p>
    <w:p>
      <w:pPr>
        <w:pStyle w:val="TextBody"/>
        <w:bidi w:val="0"/>
        <w:spacing w:before="113" w:after="113"/>
        <w:ind w:left="113" w:right="113" w:hanging="0"/>
        <w:jc w:val="left"/>
        <w:rPr>
          <w:highlight w:val="lightGray"/>
        </w:rPr>
      </w:pPr>
      <w:r>
        <w:rPr>
          <w:highlight w:val="lightGray"/>
        </w:rPr>
        <w:t>Reference 21 - 0.08% Coverage</w:t>
      </w:r>
    </w:p>
    <w:p>
      <w:pPr>
        <w:pStyle w:val="TextBody"/>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8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Through its foreign defense relationships, the United States not only helps avert crises but also improves its effectiveness in responding to them.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the QDR highlights the importance of revitalizing defense relationships with allies and partners in key regions.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revitalizing key relationships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 xml:space="preserve">supports contingency response by </w:t>
        <w:br/>
        <w:t>improving our relationships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4 references coded [ 1.05%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highlight w:val="cyan"/>
        </w:rPr>
      </w:pPr>
      <w:r>
        <w:rPr>
          <w:highlight w:val="cyan"/>
        </w:rPr>
        <w:t>“</w:t>
      </w:r>
      <w:r>
        <w:rPr>
          <w:highlight w:val="cyan"/>
        </w:rPr>
        <w:t xml:space="preserve">Through its foreign defense relationships, the United States not only helps avert crises but also improves its effectiveness in responding to them.” </w:t>
        <w:br/>
        <w:t>- 2010 Quadrennial Defense Review</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Reference 4 - 0.27%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5 references coded [ 0.27%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ongoing operational and policy relationships~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Building relationships with friends and allies will increase collective security across the international community~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productive relationships with the domestic and international private sector and civil society~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Building Policy Relationships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facilitate relationships among countries developing cybersecurity capacity</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8 references coded [ 0.97%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Military-tomilitary relationships must be reliable to be effective, and persevere through political upheavals or even disruption.</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relationships that support our broader national interests.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 references coded [ 0.32%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For each of DoD’s missions, DoD must continue to develop routine relationships and processes for coordinating its cyber operations.</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Build partnerships to defend the nation. DoD will have a framework in place to cooperate with other government agencies to conduct defend the nation operations. DoD will work with FBI, CIA, DHS and other agencies to build relationships and integrate capabilities to provide the President with the widest range of options available to respond to a cyberattack of significant consequence to the United States.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5 references coded [ 0.55%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Accordingly, we continue to invest in a substantial military-to-military relationship with China</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also will deepen our security relationship with India</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These build relationships that serve mutual security interests.</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Through such activities, we coordinate with other U.S. agencies and mission partners to build cultural awareness and affirm relationships that increase regional stability.</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Such agreements allow us to strengthen the relationships that are the foundation of trust.</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10 references coded [ 0.75%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are primed to unlock the potential of our relationship with India.</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Finally, we will apply our distinct advantages in law enforcement, science and technology, and people-to-people relationships to maximize the strategic effects of our national power.</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developing countries now consume more energy than developed ones, which is altering energy flows and changing consumer relationships.</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Where prosecution is an option, we will bring terrorists to justice through both civilian and, when appropriate, reformed military commission proceedings that incorporate fundamental due process and other protections essential to the effective administration of justice.</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To realize this vision, we are diversifying our security relationships in Asia as well as our defense posture and presence</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We seek to develop a constructive relationship with China that delivers benefits for our two peoples and promotes security and prosperity in Asia and around the world.</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Our work with Europe leverages our strong and historic bilateral relationships throughout the continent.</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continue to transform our relationship with Turkey</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6 references coded [ 1.04%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 Department of State uses its relationships with foreign governments to coordinate policy responses.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DHS has an intimate knowledge of U.S. critical infrastructure, significant expertise in incident response and mitigation, and the deep relationships with the private sector necessary to protect critical infrastructure and respond to cyber attacks.</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building longterm cooperative relationships with many of those organizations.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17 references coded [ 0.94%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have renewed our friendships in the Middle East and partnered with regional leaders to help drive out terrorists and extremists, cut off their financing, and discredit their wicked ideology.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recognize the invaluable advantages that our strong relationships with allies and partners deliver.</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In trade, fair and reciprocal relationships benefit all with equal levels of market access and opportunities for economic growth.</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Enhanced missile defense is not intended to undermine strategic stabi lity or disrupt longstanding strategic relationships with Russia or China.</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We welcome all economic relationships rooted in fairness, reciprocity , and faithful adherence to the rules.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To avoid miscalculation, the United States will conduct discussions with other states to build predictable relationships and reduce nuclear risks.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e IC, as well as the law enforcement community , offer unique abilities to defend against and mitigate threat actors operating below the threshold of open conflict. Both communities have exceptionally strong liaison relationships throughout the world, allowing the United States to cooperate with allies and partners to protect against adversaries.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Diplomacy catalyzes the political, economic, and societal connections that create America’s enduring alignments and that build positive networks of relationships with par tners.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Our diplomats must be able to build and sustain relationships where U.S. interests are at stake. Faceto-face diplomacy cannot be replaced by technology.</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Relationships, developed over time, create trust and shared understanding that the United States calls upon when confronting security threats, responding to crises, and encouraging others to share the burden for tack l ing the world’s challenges.</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We will strengthen economic ties as a core aspect of our relationships with like-minded states and use our economic expertise, markets, and resources to bolster states threatened by our compet itors .</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Today, the United States must compete for positive relationships around the world.</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The United States pursues economic ties not only for market access but also to create enduring relationships to advance common political and security interests.</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We will strengthen our long-standing military relationships and encourage the development of a strong defense network with our allies and partners.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jc w:val="left"/>
        <w:rPr/>
      </w:pPr>
      <w:r>
        <w:rPr/>
        <w:t>We will expand our defense and security cooperation with India, a Major Defense Partner of the United States, and support India’s growing relationships throughout the region.</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QDR Quote: foreign defense relationships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