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4 references coded [ 0.04%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transparency and build trust between the civil liberties and privacy community, the public, and the program for cybersecurity,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trust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form trusted communities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[ 0.21%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[ 0.56%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Humanitarian assistance and disaster relief activities employ the Joint Force to address partner needs and sometimes provide opportunities to build confidence and trust between erstwhile adversaries.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10 references coded [ 0.48%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they must retain the trust of individuals, businesses and governments,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networked systems must retain our trust~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Because the Internet’s core functionality relies on systems of trust (such as the Border Gateway Protocol), states need to recognize the international implications of their technical decisions, and act with respect for one another’s networks and the broader Internet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improve trust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exchanging information with trusted networks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Protecting individual privacy is essential to maintaining the trust that sustains economic and social uses of the Internet~</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secure enough to earn people’s trust,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