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13 references coded [ 0.84%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Other intrusions threaten to damage portions of our critical infrastructure. These and other risks have the potential to undermine the Nation’s confidence in the 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 and the loss of the military’s technological advantages.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Coordinate with international partners and standards bodies to support next-generation NS/EP communications capabilities in a globally distributed next-generation environment;67 and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xml:space="preserve">The globally interconnected information and communications infrastructure often known as “cyberspace”underpins every facet of American society and provides critical support for the national </w:t>
        <w:br/>
        <w:t>economy, civil infrastructure, security, and military power.</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it presents the need for a more balanced and integrated policy-making approach to address the convergence of the Nation’s economic and security interests in the digitally-dependent global environment of the 21st Century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8 references coded [ 0.32%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This truth is only heightened in a world of greater interconnection—a world in which our prosperity is inextricably linked to global prosperity, our security can be directly challenged by developments across an ocean, and our actions are scrutinized as never before.</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We must seize on the opportunities afforded by the world’s interconnection</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Where governments are incapable of meeting their citizens’ basic needs and fulfilling their responsibilities to provide security within their borders, the consequences are often global and may directly threaten the American people</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Today’s open and global financial system also exposes us to global financial threats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[ 0.53% Coverage]</w:t>
      </w:r>
    </w:p>
    <w:p>
      <w:pPr>
        <w:pStyle w:val="TextBody"/>
        <w:bidi w:val="0"/>
        <w:spacing w:before="113" w:after="113"/>
        <w:ind w:left="113" w:right="113" w:hanging="0"/>
        <w:jc w:val="left"/>
        <w:rPr>
          <w:highlight w:val="lightGray"/>
        </w:rPr>
      </w:pPr>
      <w:r>
        <w:rPr>
          <w:highlight w:val="lightGray"/>
        </w:rPr>
        <w:t>Reference 1 - 0.53% Coverage</w:t>
      </w:r>
    </w:p>
    <w:p>
      <w:pPr>
        <w:pStyle w:val="TextBody"/>
        <w:bidi w:val="0"/>
        <w:spacing w:before="0" w:after="0"/>
        <w:jc w:val="left"/>
        <w:rPr/>
      </w:pPr>
      <w:r>
        <w:rPr/>
        <w:t>Software and hardware are at risk of malicious tampering even before they are integrated into an operational system. The majority of information technology products used in the United States are manufactured and assembled overseas. The reliance of DoD on foreign manufacturing and development creates challenges in managing risk at points of design, manufacture, service, distribution, and disposal.</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[ 0.69%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this interdependent world, the enduring interests of the United States are increasingly tied to those of other state and non-state actors.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A prosperous and interconnected world requires a stable and secure environment, the absence of territorial aggression or conflict between states, and reliable access to resources and cyberspace for stable markets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Conventional or unconventional conflict between states interrupts commerce and triggers market volatility. Instantaneous information systems and the global economy’s interconnectedness exacerbate and amplify these effects.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As a global power, U.S. interests are deeply intertwined with the security and stability of the 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 references coded [ 0.58%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As never before, information technology is fostering transnational dialogue and facilitating the global flow of goods and services~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These social and trade links have become indispensable to our daily lives~</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The United States acknowledges that the growth of these networks brings with it new challenges for our national and economic security and that of the global community.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Over the next few decades, the globalization of technology manufacturing will only increase, with substantial benefits for our networks and consumers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In an interconnected global environment, weak security in one nation’s systems compounds the risk to others~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This effort begins by acknowledging that the interconnected nature of networked systems of our closest allies, such as those of NATO and its member states, creates opportunities and new risks~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faces a complex and uncertain security landscape in which the pace of change continues to accelerate. The distribution of global political, economic, and military power is becoming more diffuse.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As technological innovation and global information flows accelerate, non-state actors will continue to gain influence and capabilities that, during the past century, remained largely the purview of states.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trends whose complex interplay may spark or exacerbate future conflicts.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In today’s complex and interdependent security environment, these dimensions of the U.S. defense strategy have never been more important.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