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22 references coded [ 1.41%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And our 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w:t>
      </w:r>
    </w:p>
    <w:p>
      <w:pPr>
        <w:pStyle w:val="TextBody"/>
        <w:bidi w:val="0"/>
        <w:spacing w:before="113" w:after="113"/>
        <w:ind w:left="113" w:right="113" w:hanging="0"/>
        <w:jc w:val="left"/>
        <w:rPr>
          <w:highlight w:val="lightGray"/>
        </w:rPr>
      </w:pPr>
      <w:r>
        <w:rPr>
          <w:highlight w:val="lightGray"/>
        </w:rPr>
        <w:t>Reference 18 - 0.12%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TextBody"/>
        <w:bidi w:val="0"/>
        <w:spacing w:before="113" w:after="113"/>
        <w:ind w:left="113" w:right="113" w:hanging="0"/>
        <w:jc w:val="left"/>
        <w:rPr>
          <w:highlight w:val="lightGray"/>
        </w:rPr>
      </w:pPr>
      <w:r>
        <w:rPr>
          <w:highlight w:val="lightGray"/>
        </w:rPr>
        <w:t>Reference 19 - 0.17%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6 references coded [ 1.03%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We will seek a broad community of partners in these efforts, and will include cyberspace issues in a wide range of bilateral dialogues, at all levels of government and across a wide range of our activities~ We will advance common action on cyberspace’s emerging challenges, while building on those enforcement tools and approaches already enjoying success~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cooperate across borders to combat criminal misuse of information technologies</w:t>
      </w:r>
    </w:p>
    <w:p>
      <w:pPr>
        <w:pStyle w:val="TextBody"/>
        <w:bidi w:val="0"/>
        <w:spacing w:before="113" w:after="113"/>
        <w:ind w:left="113" w:right="113" w:hanging="0"/>
        <w:jc w:val="left"/>
        <w:rPr>
          <w:highlight w:val="lightGray"/>
        </w:rPr>
      </w:pPr>
      <w:r>
        <w:rPr>
          <w:highlight w:val="lightGray"/>
        </w:rPr>
        <w:t>Reference 4 - 0.31% Coverage</w:t>
      </w:r>
    </w:p>
    <w:p>
      <w:pPr>
        <w:pStyle w:val="TextBody"/>
        <w:bidi w:val="0"/>
        <w:spacing w:before="0" w:after="0"/>
        <w:jc w:val="left"/>
        <w:rPr/>
      </w:pPr>
      <w:r>
        <w:rPr/>
        <w:t>Harmonize cybercrime laws internationally by expanding accession to the Budapest Convention. 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Cybersecurity cannot be achieved by any one nation alone, and greater levels of international cooperation are needed to confront those actors who would seek to disrupt or exploit our networks~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[ 0.55%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In combination with U.S. diplomatic and development efforts, we will leverage our convening power to foster regional and international cooperation in addressing transnational security challenges.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10 references coded [ 0.63%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United States must work actively with countries around the world to make the digital infrastructure a trusted, safe, and secure place that enables prosperity for all nations.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4 references coded [ 0.56%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4 references coded [ 0.74%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each pose serious security concerns which the international community is working to collectively address by way of common policies, shared messages, and coordinated action.</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 xml:space="preserve">America’s global network of allies and partners is a unique strength that provides the </w:t>
        <w:br/>
        <w:t>foundation for international security and stability.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[ 0.31%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will lead with capable partners.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In an interconnected world, there are no global problems that can be solved without the United States, and few that can be solved by the United States alone.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This enables and incentivizes new forms of cooperation to establish dynamic security networks, expand international trade and investment, and transform global communications.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[ 0.30%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 Administration’s public statements have sought to explain U.S. views on, and emphasize the importance of, international cooperation on cyber issues.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 references coded [ 0.18%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Diplomats must identify opportunities for commerce and cooperat ion, and faci l itate the cultural , educational, and people-to-people exchanges that create the networks of current and future political, civil society, and educational leaders who will extend a free and prosperous world.</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 e United States will promote the free flow of data and protect its interests through active engagement in key organizations, such as the Internet Corporation for Assigned Names and Numbers (ICANN), the Internet Governance Forum (IGF), the UN, and the International Telecommunication Union (ITU).</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[ 0.90% Coverage]</w:t>
      </w:r>
    </w:p>
    <w:p>
      <w:pPr>
        <w:pStyle w:val="TextBody"/>
        <w:bidi w:val="0"/>
        <w:spacing w:before="113" w:after="113"/>
        <w:ind w:left="113" w:right="113" w:hanging="0"/>
        <w:jc w:val="left"/>
        <w:rPr>
          <w:highlight w:val="lightGray"/>
        </w:rPr>
      </w:pPr>
      <w:r>
        <w:rPr>
          <w:highlight w:val="lightGray"/>
        </w:rPr>
        <w:t>Reference 1 - 0.34% Coverage</w:t>
      </w:r>
    </w:p>
    <w:p>
      <w:pPr>
        <w:pStyle w:val="TextBody"/>
        <w:bidi w:val="0"/>
        <w:spacing w:before="0" w:after="0"/>
        <w:jc w:val="left"/>
        <w:rPr/>
      </w:pPr>
      <w:r>
        <w:rPr/>
        <w:t xml:space="preserve">The United States will strive to improve international cooperation in investigating malicious cyber activity, including developing solutions to potential barriers to gathering and sharing evidence. The United States will also lead in developing interoperable and mutually beneficial systems to encourage efficient cross-border </w:t>
        <w:br/>
        <w:t xml:space="preserve">information exchange for law </w:t>
        <w:br/>
        <w:t>enforcement purposes and reduce barriers to coordination.</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