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24 references coded [ 1.81%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world in which the international architecture of the 20th century is buckling under the weight of new threats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International institutions must more effectively represent the world of the 21st century, with a broader voice—and greater responsibilities—for emerging powers, and they must be modernized to more effectively generate results on issues of global interest</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19 - 0.11%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21 - 0.17%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22 - 0.17%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Reference 24 - 0.08%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 while also preserving the flexibility to endure setbacks and to make necessary adjustments.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 references coded [ 0.10%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as a global power, the strength and influence of the United States are deeply intertwined with the fate of the broader international system—a system of alliances, partnerships, and multinational institutions that our country has helped build and sustain for more than sixty years.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5 references coded [ 0.72%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In Internet governance policy, important steps have been made to ensure responsiveness and international representation in key organizations~ The United States salutes those efforts, and will continue to recognize the unique contribution of such fora that represent the entire Internet community by integrating the private sector, civil society, academia, as well as governments in a multi-stakeholder environment~</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We will also facilitate relationships among countries developing cybersecurity capacity—using both regional fora and technical bodies possessing specialized expertise</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enhance security through coordination and greater information exchange;</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The United States will continue to pursue this objective by providing training in numerous regions, continuing our work in Africa, and with APEC, ASEAN, G-8, and the OAS~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[ 0.57%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NATO members act as a stabilizing force on its perimeter, which ranges from the Middle East and the Levant, Northern Africa, the Balkans, and the Caucasus.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5 references coded [ 0.38%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Ensuring that cyberspace is sufficiently resilient and trustworthy to support U.S. goals of economic growth, civil liberties and privacy protections, national security, and the continued advancement of democratic institutions requires making cybersecurity a national priority.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Only through such partnerships will the United States be able to enhance cybersecurity and reap the full benefits of the digital revolution. 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[ 0.42% Coverage]</w:t>
      </w:r>
    </w:p>
    <w:p>
      <w:pPr>
        <w:pStyle w:val="TextBody"/>
        <w:bidi w:val="0"/>
        <w:spacing w:before="113" w:after="113"/>
        <w:ind w:left="113" w:right="113" w:hanging="0"/>
        <w:jc w:val="left"/>
        <w:rPr>
          <w:highlight w:val="lightGray"/>
        </w:rPr>
      </w:pPr>
      <w:r>
        <w:rPr>
          <w:highlight w:val="lightGray"/>
        </w:rPr>
        <w:t>Reference 1 - 0.42% Coverage</w:t>
      </w:r>
    </w:p>
    <w:p>
      <w:pPr>
        <w:pStyle w:val="TextBody"/>
        <w:bidi w:val="0"/>
        <w:spacing w:before="0" w:after="0"/>
        <w:jc w:val="left"/>
        <w:rPr/>
      </w:pPr>
      <w:r>
        <w:rPr/>
        <w:t>Most states today — led by the United States, its allies, and partners — support the established institutions and processes dedicated to preventing conflict, respecting sovereignty, and furthering human rights. Some states, however, are attempting to revise key aspects of the international order and are acting in a manner that threatens our national security interests.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 references coded [ 0.29%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[ 0.27% Coverage]</w:t>
      </w:r>
    </w:p>
    <w:p>
      <w:pPr>
        <w:pStyle w:val="TextBody"/>
        <w:bidi w:val="0"/>
        <w:spacing w:before="113" w:after="113"/>
        <w:ind w:left="113" w:right="113" w:hanging="0"/>
        <w:jc w:val="left"/>
        <w:rPr>
          <w:highlight w:val="lightGray"/>
        </w:rPr>
      </w:pPr>
      <w:r>
        <w:rPr>
          <w:highlight w:val="lightGray"/>
        </w:rPr>
        <w:t>Reference 1 - 0.27% Coverage</w:t>
      </w:r>
    </w:p>
    <w:p>
      <w:pPr>
        <w:pStyle w:val="TextBody"/>
        <w:bidi w:val="0"/>
        <w:spacing w:before="0" w:after="0"/>
        <w:jc w:val="left"/>
        <w:rPr/>
      </w:pPr>
      <w:r>
        <w:rPr/>
        <w:t xml:space="preserve">The United States is leading the way on these issues internationally; the Administration concluded the first ever </w:t>
        <w:br/>
        <w:t xml:space="preserve">17 </w:t>
        <w:br/>
        <w:t>bilateral cyber confidence building measures with Russia in June 2013 and led the effort to develop the first set of multilateral confidence-building measures in the Organization for Security and Cooperation in Europe.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A range of international institutions establishes the rules for how states, businesses, and individuals interact with each other, across land and sea, the Arctic, outer space, and the digital realm. It is vital to U.S. prosperity and security that these institutions uphold the rules that help keep these common domains open and free.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