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5 references coded [ 0.38%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Ensuring that cyberspace is sufficiently resilient and trustworthy to support U.S. goals of economic growth, civil liberties and privacy protections, national security, and the continued advancement of democratic institutions requires making cybersecurity a national priority.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Only through such partnerships will the United States be able to enhance cybersecurity and reap the full benefits of the digital revolution. 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24 references coded [ 1.81%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world in which the international architecture of the 20th century is buckling under the weight of new threats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International institutions must more effectively represent the world of the 21st century, with a broader voice—and greater responsibilities—for emerging powers, and they must be modernized to more effectively generate results on issues of global interest</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Furthermore, we embrace America’s unique responsibility to promote international security—a responsibility that flows from our commitments to allies, our leading role in supporting a just and sustainable international order,</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We also need official international financial institutions to be as modern and agile as the global economy they serve. Through the G-20, we will pursue governance reform at the International Monetary Fund (IMF) and World Bank. We will also broaden our leadership in other international financial institutions so that the rapidly growing countries of the world see their representation increase and are willing to invest those institutions with the authority they need to promote the stability and growth of global output and trade.</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These alliances have preserved a hard-earned peace and strengthened the bridges of understanding across the Pacific Ocean in the second half of the 20th century, and it is essential to U.S., Asian, and global security that they are as dynamic and effective in the 21st century.</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19 - 0.11%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 Indeed, our ability to advance peace, security, and opportunity will turn on our ability to strengthen both our national and our multilateral capabilities.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We need to assist existing institutions to perform effectively.</w:t>
      </w:r>
    </w:p>
    <w:p>
      <w:pPr>
        <w:pStyle w:val="TextBody"/>
        <w:bidi w:val="0"/>
        <w:spacing w:before="113" w:after="113"/>
        <w:ind w:left="113" w:right="113" w:hanging="0"/>
        <w:jc w:val="left"/>
        <w:rPr>
          <w:highlight w:val="lightGray"/>
        </w:rPr>
      </w:pPr>
      <w:r>
        <w:rPr>
          <w:highlight w:val="lightGray"/>
        </w:rPr>
        <w:t>Reference 21 - 0.17%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22 - 0.17% Coverage</w:t>
      </w:r>
    </w:p>
    <w:p>
      <w:pPr>
        <w:pStyle w:val="TextBody"/>
        <w:bidi w:val="0"/>
        <w:spacing w:before="0" w:after="0"/>
        <w:jc w:val="left"/>
        <w:rPr/>
      </w:pPr>
      <w:r>
        <w:rPr/>
        <w:t>Invest in Regional Capabilities: Regional organizations can be particularly effective at mobilizing and legitimating cooperation among countries closest to the problem. Regional organizations—whether NATO, the Organization for Security Cooperation in Europe, the Organization of the Islamic Conference, the African Union, Organization of American States, or ASEAN, and the Gulf Cooperation Council—vary widely in their membership, constitutions, histories, orientation, and operational capabilities. That variety needs to inform a strategic approach to their evolving roles and relative contributions to global security.</w:t>
      </w:r>
    </w:p>
    <w:p>
      <w:pPr>
        <w:pStyle w:val="TextBody"/>
        <w:bidi w:val="0"/>
        <w:spacing w:before="113" w:after="113"/>
        <w:ind w:left="113" w:right="113" w:hanging="0"/>
        <w:jc w:val="left"/>
        <w:rPr>
          <w:highlight w:val="lightGray"/>
        </w:rPr>
      </w:pPr>
      <w:r>
        <w:rPr>
          <w:highlight w:val="lightGray"/>
        </w:rPr>
        <w:t>Reference 23 - 0.06% Coverage</w:t>
      </w:r>
    </w:p>
    <w:p>
      <w:pPr>
        <w:pStyle w:val="TextBody"/>
        <w:bidi w:val="0"/>
        <w:spacing w:before="0" w:after="0"/>
        <w:jc w:val="left"/>
        <w:rPr/>
      </w:pPr>
      <w:r>
        <w:rPr/>
        <w:t>We will continue to build support in other countries to contribute to sustaining global peace and stability operations, through U.N. peacekeeping and regional organizations, such as NATO and the African Union.</w:t>
      </w:r>
    </w:p>
    <w:p>
      <w:pPr>
        <w:pStyle w:val="TextBody"/>
        <w:bidi w:val="0"/>
        <w:spacing w:before="113" w:after="113"/>
        <w:ind w:left="113" w:right="113" w:hanging="0"/>
        <w:jc w:val="left"/>
        <w:rPr>
          <w:highlight w:val="lightGray"/>
        </w:rPr>
      </w:pPr>
      <w:r>
        <w:rPr>
          <w:highlight w:val="lightGray"/>
        </w:rPr>
        <w:t>Reference 24 - 0.08% Coverage</w:t>
      </w:r>
    </w:p>
    <w:p>
      <w:pPr>
        <w:pStyle w:val="TextBody"/>
        <w:bidi w:val="0"/>
        <w:spacing w:before="0" w:after="0"/>
        <w:jc w:val="left"/>
        <w:rPr/>
      </w:pPr>
      <w:r>
        <w:rPr/>
        <w:t>One of the reasons that this nation succeeded in the second half of the 20th century was its capacity to pursue policies and build institutions that endured across multiple Administrations, while also preserving the flexibility to endure setbacks and to make necessary adjustments.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[ 0.57%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NATO members act as a stabilizing force on its perimeter, which ranges from the Middle East and the Levant, Northern Africa, the Balkans, and the Caucasus.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[ 0.72%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In Internet governance policy, important steps have been made to ensure responsiveness and international representation in key organizations~ The United States salutes those efforts, and will continue to recognize the unique contribution of such fora that represent the entire Internet community by integrating the private sector, civil society, academia, as well as governments in a multi-stakeholder environment~</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We will also facilitate relationships among countries developing cybersecurity capacity—using both regional fora and technical bodies possessing specialized expertise</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enhance security through coordination and greater information exchange;</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 United States will continue to pursue this objective by providing training in numerous regions, continuing our work in Africa, and with APEC, ASEAN, G-8, and the OAS~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[ 0.10%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a global power, the strength and influence of the United States are deeply intertwined with the fate of the broader international system—a system of alliances, partnerships, and multinational institutions that our country has helped build and sustain for more than sixty years.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