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[ 0.30%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The World as It Is, A Strategy for the World We Seek</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To achieve the world we seek, the United States must apply our strategic approach in pursuit of four enduring national interests: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w:t>
      </w:r>
      <w:r>
        <w:rPr/>
        <w:t>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 references coded [ 0.43%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in part, is the future of cyberspace that the United States seeks—and the future we will work to realize~</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 xml:space="preserve">The Future We Seek </w:t>
        <w:br/>
        <w:t>The cyberspace environment that we seek rewards innovation and empowers individuals; it connects individuals and strengthens communities; it builds better governments and expands accountability; it safeguards fundamental freedoms and enhances personal privacy; it builds understanding, clarifies norms of behavior, and enhances national and international security~</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These ideals are central to preserving the cyberspace we know, and to creating, together, the future we seek~</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9 references coded [ 0.90%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I believe that America leads best when we draw upon our hopes rather than our fears.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Just as the United States helped shape the course of events in the last century, so must we influence their trajectory today by evolving the way we exercise American leadership.</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Through our trade and investment policies, we will shape globalization so that it is working for American workers. By leveraging our improved economic and energy position, we will strengthen the global financial system and advance high-standard trade deals.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Shape the Global Economic Order We have recovered from the global economic crisis, but much remains to be done to shape the emerging economic order to avoid future crises.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We have an historic opportunity to end extreme poverty within a generation and put our societies on a path of shared and sustained prosperity. In so doing, we will foster export markets for U.S. businesses, improve investment opportunities, and decrease the need for costly military interventions.</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will continue to advance a Western Hemisphere that is prosperous, secure, democratic, and plays a greater global role.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will bring about the bett er future we seek for our people and the world, by confronting the challenges and dangers posed by those who seek to destabilize the world and threaten America’s people and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 references coded [ 0.15%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This is a 360-degree strategy grounded in the world as it is today, laying out the future we seek, and providing a roadmap for how we will achieve it.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We’re not passive witnesses to history; we are the authors ofhistory. We can do this—we have to do it—for ourselves and for our future, for humankind.</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In an ideal world, governments would compete responsibly where their interests diverge and cooperate where they converge—but things have not always worked out this way in practice.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