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[ 0.20%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 Strategy for the World We Seek</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 references coded [ 0.10%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Future We Seek</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This, in part, is the future of cyberspace that the United States seeks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The Future We Seek</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creating, together, the future we seek~</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9 references coded [ 0.90%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 believe that America leads best when we draw upon our hopes rather than our fears.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Just as the United States helped shape the course of events in the last century, so must we influence their trajectory today by evolving the way we exercise American leadership.</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Shape the Global Economic Order We have recovered from the global economic crisis, but much remains to be done to shape the emerging economic order to avoid future crises.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will bring about the bett er future we seek for our people and the world, by confronting the challenges and dangers posed by those who seek to destabilize the world and threaten America’s people and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