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 references coded [ 0.10%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Key steps include more effectively ensuring alignment of resources with our national security strategy</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We are pursuing these objectives with a strategy that has three core components.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Our mutual interests must be underpinned by bilateral, multilateral, and global strategies that address underlying sources of insecurity and build new spheres of cooperation</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4 references coded [ 2.47% Coverage]</w:t>
      </w:r>
    </w:p>
    <w:p>
      <w:pPr>
        <w:pStyle w:val="TextBody"/>
        <w:bidi w:val="0"/>
        <w:spacing w:before="113" w:after="113"/>
        <w:ind w:left="113" w:right="113" w:hanging="0"/>
        <w:jc w:val="left"/>
        <w:rPr>
          <w:highlight w:val="lightGray"/>
        </w:rPr>
      </w:pPr>
      <w:r>
        <w:rPr>
          <w:highlight w:val="lightGray"/>
        </w:rPr>
        <w:t>Reference 1 - 0.95% Coverage</w:t>
      </w:r>
    </w:p>
    <w:p>
      <w:pPr>
        <w:pStyle w:val="TextBody"/>
        <w:bidi w:val="0"/>
        <w:spacing w:before="0" w:after="0"/>
        <w:jc w:val="left"/>
        <w:rPr/>
      </w:pPr>
      <w:r>
        <w:rPr/>
        <w:t xml:space="preserve">FIVE STRATEGIC INITIATIVES </w:t>
        <w:br/>
        <w:t xml:space="preserve">Strategic Initiative 1: Treat cyberspace as an operational domain to organize, train, and equip so that DoD can take full advantage of cyberspace’s potential </w:t>
        <w:br/>
        <w:t xml:space="preserve">Strategic Initiative 2: Employ new defense operating concepts to protect DoD networks and systems </w:t>
        <w:br/>
        <w:t xml:space="preserve">Strategic Initiative 3: Partner with other U.S. government departments and agencies and the private sector to enable a whole-of-government cybersecurity strategy </w:t>
        <w:br/>
        <w:t xml:space="preserve">Strategic Initiative 4: Build robust relationships with U.S. allies and international partners to strengthen collective cybersecurity </w:t>
        <w:br/>
        <w:t>Strategic Initiative 5: Leverage the nation’s ingenuity through an exceptional cyber workforce and rapid technological innovation</w:t>
      </w:r>
    </w:p>
    <w:p>
      <w:pPr>
        <w:pStyle w:val="TextBody"/>
        <w:bidi w:val="0"/>
        <w:spacing w:before="113" w:after="113"/>
        <w:ind w:left="113" w:right="113" w:hanging="0"/>
        <w:jc w:val="left"/>
        <w:rPr>
          <w:highlight w:val="lightGray"/>
        </w:rPr>
      </w:pPr>
      <w:r>
        <w:rPr>
          <w:highlight w:val="lightGray"/>
        </w:rPr>
        <w:t>Reference 2 - 0.22% Coverage</w:t>
      </w:r>
    </w:p>
    <w:p>
      <w:pPr>
        <w:pStyle w:val="TextBody"/>
        <w:bidi w:val="0"/>
        <w:spacing w:before="0" w:after="0"/>
        <w:jc w:val="left"/>
        <w:rPr/>
      </w:pPr>
      <w:r>
        <w:rPr/>
        <w:t>The Department of Defense Strategy for Operating in Cyberspace assesses these challenges and opportunities and sets a strategic approach for DoD’s cyber mission.</w:t>
      </w:r>
    </w:p>
    <w:p>
      <w:pPr>
        <w:pStyle w:val="TextBody"/>
        <w:bidi w:val="0"/>
        <w:spacing w:before="113" w:after="113"/>
        <w:ind w:left="113" w:right="113" w:hanging="0"/>
        <w:jc w:val="left"/>
        <w:rPr>
          <w:highlight w:val="lightGray"/>
        </w:rPr>
      </w:pPr>
      <w:r>
        <w:rPr>
          <w:highlight w:val="lightGray"/>
        </w:rPr>
        <w:t>Reference 3 - 0.53% Coverage</w:t>
      </w:r>
    </w:p>
    <w:p>
      <w:pPr>
        <w:pStyle w:val="TextBody"/>
        <w:bidi w:val="0"/>
        <w:spacing w:before="0" w:after="0"/>
        <w:jc w:val="left"/>
        <w:rPr/>
      </w:pPr>
      <w:r>
        <w:rPr/>
        <w:t>The Department’s five strategic initiatives offer a roadmap for DoD to operate effectively in cyberspace, defend national interests, and achieve national security objectives. Each initiative is distinct, yet necessarily connected with the other four. Across the strategy, activities undertaken in one initiative will contribute to DoD’s strategic thinking and lead to new approaches in the others.</w:t>
      </w:r>
    </w:p>
    <w:p>
      <w:pPr>
        <w:pStyle w:val="TextBody"/>
        <w:bidi w:val="0"/>
        <w:spacing w:before="113" w:after="113"/>
        <w:ind w:left="113" w:right="113" w:hanging="0"/>
        <w:jc w:val="left"/>
        <w:rPr>
          <w:highlight w:val="lightGray"/>
        </w:rPr>
      </w:pPr>
      <w:r>
        <w:rPr>
          <w:highlight w:val="lightGray"/>
        </w:rPr>
        <w:t>Reference 4 - 0.77% Coverage</w:t>
      </w:r>
    </w:p>
    <w:p>
      <w:pPr>
        <w:pStyle w:val="TextBody"/>
        <w:bidi w:val="0"/>
        <w:spacing w:before="0" w:after="0"/>
        <w:jc w:val="left"/>
        <w:rPr/>
      </w:pPr>
      <w:r>
        <w:rPr/>
        <w:t>By pursuing the activities in this strategy, DoD will capitalize on the opportunities afforded to the Department by cyberspace; defend DoD networks and systems against intrusions and malicious activity; support efforts to strengthen cybersecurity for interagency, international, and critical industry partners; and develop robust cyberspace capabilities and partnerships. This strategy will guide the Department’s defense of U.S. interests in cyberspace so that the United States and its allies and partners may continue to benefit from the innovations of the information age.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