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12 references coded [ 0.38%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 the Security Capacity of Partner States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Build the security capacity of partner states: Since the end of World War II, DoD has worked to build the security capacity of allied and partner states and to ensure that the Armed Forces of the United States have ample opportunities to train with and learn from counterpart forces. As ongoing conflicts in Afghanistan and Iraq make clear, these dimensions of U.S. defense strategy have never been more important.</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 </w:t>
      </w:r>
      <w:r>
        <w:rPr/>
        <w:t xml:space="preserve">Strengthen and institutionalize general purpose force capabilities for security force assistance; </w:t>
        <w:br/>
        <w:t xml:space="preserve"> Enhance linguistic, regional, and cultural ability;  Strengthen and expand capabilities for training partner aviation forces;  Strengthen capacities for ministerial-level training; and </w:t>
        <w:br/>
        <w:t> Create mechanisms to expedite acquisition and transfer of critical capabilities to partner forces.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partnerships with other agencies and governments.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 addition to better preparing our own forces for the future, these initiatives will improve the Department’s ability to build the capability and capacity of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alone and in concert with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working with a wide range of partner navies.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will also enhance our air forces’ contributions to security force assistance operations by fielding within our broader inventory aircraft that are well-suited to training and advising partner air forces.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DoD will continue to place special emphasis on stability operations, counterinsurgency, and the building of partner capacity skill sets in its professional military education and career development policies.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Strengthening Relationships Achieving the Department’s strategic objectives requires close collaboration with counterparts at </w:t>
        <w:br/>
        <w:t>home and with key allies and partners abroad. 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United States will continue to tailor its defense posture to enhance other states’ abilities to solve global security problems,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5 references coded [ 1.94%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Assure integrity and availability by engaging in smart partnerships, building collective self defenses, and maintaining a common operating picture</w:t>
      </w:r>
    </w:p>
    <w:p>
      <w:pPr>
        <w:pStyle w:val="TextBody"/>
        <w:bidi w:val="0"/>
        <w:spacing w:before="113" w:after="113"/>
        <w:ind w:left="113" w:right="113" w:hanging="0"/>
        <w:jc w:val="left"/>
        <w:rPr>
          <w:highlight w:val="lightGray"/>
        </w:rPr>
      </w:pPr>
      <w:r>
        <w:rPr>
          <w:highlight w:val="lightGray"/>
        </w:rPr>
        <w:t>Reference 2 - 1.01% Coverage</w:t>
      </w:r>
    </w:p>
    <w:p>
      <w:pPr>
        <w:pStyle w:val="TextBody"/>
        <w:bidi w:val="0"/>
        <w:spacing w:before="0" w:after="0"/>
        <w:jc w:val="left"/>
        <w:rPr/>
      </w:pPr>
      <w:r>
        <w:rPr/>
        <w:t>DoD is also partnering with the Defense Industrial Base (DIB) to increase the protection of sensitive information. The DIB comprises the public and private organizations and corporations that support DoD through the provision of defense technologies, weapons systems, policy and strategy development, and personnel. To increase protection of DIB networks, DoD launched the Defense Industrial Base Cyber Security and Information Assurance (CS/IA) program in 2007. Building upon this program, DoD is also establishing a pilot public-private sector partnership intended to demonstrate the feasibility and benefits of voluntarily opting into increased sharing of information about malicious or unauthorized cyber activity and protective cybersecurity measures.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Reference 5 - 0.35%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[ 0.46%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continue to strengthen the capacity of Afghan security forces, and enable Pakistan to ultimately defeat al Qaida and its extremist allies.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will help allies and partners to develop WMD detection and elimination capabilities to protect their own populations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Joint Force must continue to transition well as we shift the focus of our assistance from Iraq’s internal domestic security to its external national defense.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5 references coded [ 0.23%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build capacity to help partners counter terrorism and counter the proliferation of weapons of mass destruction (WMD)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Department of Defense will rebalance our counterterrorism efforts toward greater emphasis on building partnership capacity</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 the capacity of our partners, and support conventional operations.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17 references coded [ 2.33%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The Defense Department engages in a broad array of activities to improve cybersecurity and cyber operations capacity abroad.</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DoD helps U.S. allies and partners to understand the cyber threats they face and to build the cyber capabilities necessary to defend their networks and data.</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In its international cyber engagement DoD seeks to build partnership capacity in cybersecurity and cyber defense, and to deepen operational partnerships where appropriate.</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Over the next five years, in addition to ongoing partner capacity building efforts in other regions, DoD will focus its international engagement on: the Middle East, the Asia-Pacific, and key NATO allies.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TextBody"/>
        <w:bidi w:val="0"/>
        <w:spacing w:before="113" w:after="113"/>
        <w:ind w:left="113" w:right="113" w:hanging="0"/>
        <w:jc w:val="left"/>
        <w:rPr>
          <w:highlight w:val="lightGray"/>
        </w:rPr>
      </w:pPr>
      <w:r>
        <w:rPr>
          <w:highlight w:val="lightGray"/>
        </w:rPr>
        <w:t>Reference 8 - 0.22% Coverage</w:t>
      </w:r>
    </w:p>
    <w:p>
      <w:pPr>
        <w:pStyle w:val="TextBody"/>
        <w:bidi w:val="0"/>
        <w:spacing w:before="0" w:after="0"/>
        <w:jc w:val="left"/>
        <w:rPr/>
      </w:pPr>
      <w:r>
        <w:rPr/>
        <w:t>Develop automated information sharing tools. To improve shared situational awareness DoD will partner with DHS and other agencies to develop continuous, automated, standardized mechanisms for sharing information with each of its critical partners in the U.S. government, key allied and partner militaries, state and local governments, and the private sector.</w:t>
      </w:r>
    </w:p>
    <w:p>
      <w:pPr>
        <w:pStyle w:val="TextBody"/>
        <w:bidi w:val="0"/>
        <w:spacing w:before="113" w:after="113"/>
        <w:ind w:left="113" w:right="113" w:hanging="0"/>
        <w:jc w:val="left"/>
        <w:rPr>
          <w:highlight w:val="lightGray"/>
        </w:rPr>
      </w:pPr>
      <w:r>
        <w:rPr>
          <w:highlight w:val="lightGray"/>
        </w:rPr>
        <w:t>Reference 9 - 0.29% Coverage</w:t>
      </w:r>
    </w:p>
    <w:p>
      <w:pPr>
        <w:pStyle w:val="TextBody"/>
        <w:bidi w:val="0"/>
        <w:spacing w:before="0" w:after="0"/>
        <w:jc w:val="left"/>
        <w:rPr/>
      </w:pPr>
      <w:r>
        <w:rPr/>
        <w:t>Build partner capacity in key regions. Under its existing and planned force structure, DoD will work with key allies and partners to build partner capacity and help secure the critical infrastructure and key resources on which DoD missions and U.S. interests depend. The Defense Department will work regularly with other agencies of the U.S. government, to include the Department of State, in building partner capacity. Priority regions include the Middle East, Asia-Pacific, and Europe.</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Build new strategic partnerships in the Asia-Pacific </w:t>
        <w:br/>
        <w:t xml:space="preserve">region. The Defense </w:t>
        <w:br/>
        <w:t>Department will work with key states across the Asia-Pacific to build cyber capacity and minimize risk to U.S. and allied interests, in a manner consistent with DoD’s International Cyberspace Security Cooperation Guidance.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Work with capable international partners to plan and train for cyber operations.</w:t>
      </w:r>
    </w:p>
    <w:p>
      <w:pPr>
        <w:pStyle w:val="TextBody"/>
        <w:bidi w:val="0"/>
        <w:spacing w:before="113" w:after="113"/>
        <w:ind w:left="113" w:right="113" w:hanging="0"/>
        <w:jc w:val="left"/>
        <w:rPr>
          <w:highlight w:val="lightGray"/>
        </w:rPr>
      </w:pPr>
      <w:r>
        <w:rPr>
          <w:highlight w:val="lightGray"/>
        </w:rPr>
        <w:t>Reference 14 - 0.12% Coverage</w:t>
      </w:r>
    </w:p>
    <w:p>
      <w:pPr>
        <w:pStyle w:val="TextBody"/>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TextBody"/>
        <w:bidi w:val="0"/>
        <w:spacing w:before="113" w:after="113"/>
        <w:ind w:left="113" w:right="113" w:hanging="0"/>
        <w:jc w:val="left"/>
        <w:rPr>
          <w:highlight w:val="lightGray"/>
        </w:rPr>
      </w:pPr>
      <w:r>
        <w:rPr>
          <w:highlight w:val="lightGray"/>
        </w:rPr>
        <w:t>Reference 15 - 0.16% Coverage</w:t>
      </w:r>
    </w:p>
    <w:p>
      <w:pPr>
        <w:pStyle w:val="TextBody"/>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Success requires close collaboration across DoD, between agencies of the U.S. government, with the private sector, and with U.S. allies and partners.</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We must anticipate emerging threats, identify new capabilities to build, and determine how to enhance our partnerships and planning.</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9 references coded [ 1.12%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interoperability with allies and partners.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The U.S. </w:t>
        <w:br/>
        <w:t>military contributes select combat forces, enabling technologies, and training in support of local partners that provide the majority of forces necessary to restore and secure their homelands.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 xml:space="preserve">Combined training and exercises increase the readiness of our allies and partners while </w:t>
        <w:br/>
        <w:t>enhancing the interoperability and responsiveness of U.S. forces.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They also develop partner military capabilities for self-defense and support to multinational operations.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 xml:space="preserve">The best </w:t>
        <w:br/>
        <w:t>way to counter VEOs is by way of sustained pressure using local forces augmented by specialized U.S. and coalition military strengths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Strengthening partners is fundamental to our security, building strategic depth for our national defense.</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building partner capacity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[ 0.37%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build the capacity of our partners to join with us in meeting security challenges.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Working with the Congress, we will train and equip local partners and provide operational support to gain ground against terrorist groups.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[ 1.11%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 xml:space="preserve">STRENGTHEN PARTNER NATIONS’ LAW </w:t>
        <w:br/>
        <w:t>ENFORCEMENT CAPACITY TO COMBAT CRIMINAL CYBER ACTIVITY: The United States should also aid willing partner nations to build their capacity to address criminal cyber activity.</w:t>
      </w:r>
    </w:p>
    <w:p>
      <w:pPr>
        <w:pStyle w:val="TextBody"/>
        <w:bidi w:val="0"/>
        <w:spacing w:before="113" w:after="113"/>
        <w:ind w:left="113" w:right="113" w:hanging="0"/>
        <w:jc w:val="left"/>
        <w:rPr>
          <w:highlight w:val="lightGray"/>
        </w:rPr>
      </w:pPr>
      <w:r>
        <w:rPr>
          <w:highlight w:val="lightGray"/>
        </w:rPr>
        <w:t>Reference 2 - 0.82% Coverage</w:t>
      </w:r>
    </w:p>
    <w:p>
      <w:pPr>
        <w:pStyle w:val="TextBody"/>
        <w:bidi w:val="0"/>
        <w:spacing w:before="0" w:after="0"/>
        <w:jc w:val="left"/>
        <w:rPr/>
      </w:pPr>
      <w:r>
        <w:rPr/>
        <w:t xml:space="preserve">Build International Cyber Capacity Capacity building equips partners to protect themselves and assist the United States in addressing threats that target mutual interests, while serving broader diplomatic, economic, and security goals. Through cyber capacity building initiatives, the United States builds strategic partnerships that promote cybersecurity best practices through a common vision of an open, interoperable, reliable, and secure Internet that encourages investment and opens new economic markets. 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 Our leadership in building partner cybersecurity capacity is critical to maintaining American influence against global competitors. Building partner cyber capacity will empower international</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partners to implement policies and practices which allow them to be effective partners in the United States-led Cyber Deterrence Initiative.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