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[ 0.62%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It carries forward the foundational direction of Executive Order (EO) 14028, “Improving the Nation’s Cybersecurity,” National Security Memorandum (NSM) 5, “Improving Cybersecurity for Critical Infrastructure Control Systems,” NSM 8, “Improving the Cybersecurity of National Security, Department of Defense (DoD), and Intelligence Community Systems,” and other executive actions.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This strategy also builds on the work of prior administrations. It replaces the 2018 National Cyber Strategy but continues momentum on many of its priorities, including the collaborative defense of the digital ecosystem.</w:t>
      </w:r>
    </w:p>
    <w:p>
      <w:pPr>
        <w:pStyle w:val="BodyText"/>
        <w:bidi w:val="0"/>
        <w:spacing w:before="0" w:after="0"/>
        <w:ind w:hanging="0" w:left="150" w:right="150"/>
        <w:jc w:val="left"/>
        <w:rPr>
          <w:shd w:fill="D3D3D3" w:val="clear"/>
        </w:rPr>
      </w:pPr>
      <w:r>
        <w:rPr>
          <w:shd w:fill="D3D3D3" w:val="clear"/>
        </w:rPr>
        <w:t>Reference 3 - 0.33% Coverage</w:t>
      </w:r>
    </w:p>
    <w:p>
      <w:pPr>
        <w:pStyle w:val="BodyText"/>
        <w:bidi w:val="0"/>
        <w:spacing w:before="0" w:after="0"/>
        <w:jc w:val="left"/>
        <w:rPr/>
      </w:pPr>
      <w:r>
        <w:rPr/>
        <w:t>This strategy’s goals for securing Federal systems and collaborating with the private sector build on EO 13800, “Strengthening the Cybersecurity of Federal Networks and Critical Infrastructure,” EO 13691, “Promoting Private Sector Cybersecurity Information Sharing,” and EO 13636, “Improving Critical Infrastructure Cybersecurity,” and fit within the frameworks established by Presidential Policy Directive 21, “Critical Infrastructure Security and Resilience,” and Presidential Policy Directive 41, “United States Cyber Incident Coordination.” It carries forward and evolves many of the strategic efforts originally initiated by the 2008 Comprehensive National Cybersecurity Initiative.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