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[ 0.20%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We will enhance deterrence in air, space, and cyberspace by possessing the capability to fight through a degraded environment and improving our ability to attribute and defeat attacks on our systems or supporting infrastructure.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4 references coded [ 1.22% Coverage]</w:t>
      </w:r>
    </w:p>
    <w:p>
      <w:pPr>
        <w:pStyle w:val="BodyText"/>
        <w:bidi w:val="0"/>
        <w:spacing w:before="0" w:after="0"/>
        <w:ind w:hanging="0" w:left="150" w:right="150"/>
        <w:jc w:val="left"/>
        <w:rPr>
          <w:shd w:fill="D3D3D3" w:val="clear"/>
        </w:rPr>
      </w:pPr>
      <w:r>
        <w:rPr>
          <w:shd w:fill="D3D3D3" w:val="clear"/>
        </w:rPr>
        <w:t>Reference 1 - 0.64% Coverage</w:t>
      </w:r>
    </w:p>
    <w:p>
      <w:pPr>
        <w:pStyle w:val="BodyText"/>
        <w:bidi w:val="0"/>
        <w:spacing w:before="0" w:after="0"/>
        <w:jc w:val="left"/>
        <w:rPr/>
      </w:pPr>
      <w:r>
        <w:rPr/>
        <w:t xml:space="preserve">Attribution is a fundamental part of an effective cyber deterrence strategy as anonymity enables malicious cyber activity by state and non-state groups. On matters of intelligence, attribution, and warning, DoD and the intelligence community have invested significantly in all source </w:t>
        <w:br/>
        <w:t xml:space="preserve">11 </w:t>
        <w:br/>
        <w:t xml:space="preserve">Airman 1st Class Nate Hammond adjusts the frequency of a Roll-On Beyond Line of Sight Enhancement, or ROBE, data link system at the Transit Center at Manas, Kyrgyzstan. A ROBE connects manpower assets on the ground to other ground or airborne units. (U.S. Air Force photo/Senior Airman Brett Clashman) </w:t>
        <w:br/>
        <w:t xml:space="preserve">Th e De pa r tme n t o f De f e n s e Cy be r S t r a t e g y </w:t>
        <w:br/>
        <w:t>collection, analysis, and dissemination capabilities, all of which reduce the anonymity of state and non-state actor activity in cyberspace. Intelligence and attribution capabilities help to unmask an actor’s cyber persona, identify the attack’s point of origin, and determine tactics, techniques, and procedures. Attribution enables the Defense Department or other agencies to conduct response and denial operations against an incoming cyberattack.</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Public and private attribution can play a significant role in dissuading cyber actors from conducting attacks in the first place.</w:t>
      </w:r>
    </w:p>
    <w:p>
      <w:pPr>
        <w:pStyle w:val="BodyText"/>
        <w:bidi w:val="0"/>
        <w:spacing w:before="0" w:after="0"/>
        <w:ind w:hanging="0" w:left="150" w:right="150"/>
        <w:jc w:val="left"/>
        <w:rPr>
          <w:shd w:fill="D3D3D3" w:val="clear"/>
        </w:rPr>
      </w:pPr>
      <w:r>
        <w:rPr>
          <w:shd w:fill="D3D3D3" w:val="clear"/>
        </w:rPr>
        <w:t>Reference 3 - 0.22% Coverage</w:t>
      </w:r>
    </w:p>
    <w:p>
      <w:pPr>
        <w:pStyle w:val="BodyText"/>
        <w:bidi w:val="0"/>
        <w:spacing w:before="0" w:after="0"/>
        <w:jc w:val="left"/>
        <w:rPr/>
      </w:pPr>
      <w:r>
        <w:rPr/>
        <w:t>For example, the United States used verifiable and attributable data to engage China about the risks posed by its economic espionage. The attribution of this data allowed the United States to express concerns regarding the impact of Chinese intellectual property theft on U.S. economic competitiveness, and the potential risks posed to strategic stability by Chinese activity.</w:t>
      </w:r>
    </w:p>
    <w:p>
      <w:pPr>
        <w:pStyle w:val="BodyText"/>
        <w:bidi w:val="0"/>
        <w:spacing w:before="0" w:after="0"/>
        <w:ind w:hanging="0" w:left="150" w:right="150"/>
        <w:jc w:val="left"/>
        <w:rPr>
          <w:shd w:fill="D3D3D3" w:val="clear"/>
        </w:rPr>
      </w:pPr>
      <w:r>
        <w:rPr>
          <w:shd w:fill="D3D3D3" w:val="clear"/>
        </w:rPr>
        <w:t>Reference 4 - 0.27% Coverage</w:t>
      </w:r>
    </w:p>
    <w:p>
      <w:pPr>
        <w:pStyle w:val="BodyText"/>
        <w:bidi w:val="0"/>
        <w:spacing w:before="0" w:after="0"/>
        <w:jc w:val="left"/>
        <w:rPr/>
      </w:pPr>
      <w:r>
        <w:rPr/>
        <w:t>In conducting its analysis, USSTRATCOM must determine whether DoD is building the capabilities required for attributing and deterring key threats from conducting such attacks and recommend specific actions that DoD can take to improve its cyber deterrence posture. Careful attention should be devoted also to deterring non-state actors that may fall outside of traditional deterrence frameworks but which could pose a considerable threat to U.S. interests.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We will also develop technologies and tactics to deter and defeat efforts to attack our space systems; enable indications, warning, and attributions of such attacks;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4 references coded [ 0.79%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For the purpose of this document, attribution is defined as the capability to determine the identity or location of those responsible for conducting or directing cyber attacks or other malicious cyber activity.</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Although achieving a high degree of certainty in a timely manner can prove difficult, the United States is continually improving our ability to attribute malicious cyber activities and will hold malicious actors accountable for their actions.</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 xml:space="preserve">Instead, the United States must maintain a spectrum of response capabilities that provide the President and senior U.S. leaders with options that can be tailored to </w:t>
        <w:br/>
        <w:t xml:space="preserve">10 </w:t>
        <w:br/>
        <w:t>particular adversaries, the impact of the malicious activities, and the level of certainty regarding attribution.</w:t>
      </w:r>
    </w:p>
    <w:p>
      <w:pPr>
        <w:pStyle w:val="BodyText"/>
        <w:bidi w:val="0"/>
        <w:spacing w:before="0" w:after="0"/>
        <w:ind w:hanging="0" w:left="150" w:right="150"/>
        <w:jc w:val="left"/>
        <w:rPr>
          <w:shd w:fill="D3D3D3" w:val="clear"/>
        </w:rPr>
      </w:pPr>
      <w:r>
        <w:rPr>
          <w:shd w:fill="D3D3D3" w:val="clear"/>
        </w:rPr>
        <w:t>Reference 4 - 0.20% Coverage</w:t>
      </w:r>
    </w:p>
    <w:p>
      <w:pPr>
        <w:pStyle w:val="BodyText"/>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We will also invest in capabilities that improve the ability of the United States to attribute cyberatt acks. In accordance with the protection of civil liberties and privacy, the U.S. Government will expand collaboration with the private sector so that we can bett er detect and att ribute att acks.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[ 0.29%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We have publicly attributed malicious activity to the responsible adversaries and released details of the tools and infrastructure they employed.</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The IC will continue to lead the world in the use of all-source cyber intelligence to drive the identification and attribution of malicious cyber activity that threatens United States national interests.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U.S. leadership in shaping norms for appropriate conduct in the cyber, space, and other emerging technology domains will reinforce deterrence by increasing international consensus on what constitutes malign and aggressive behavior, thereby increasing the prospect of collective attribution and response when these norms are violated.</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