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Environment—The World as It Is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[ 0.49%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States, meanwhile, are using information sharing to develop advanced capabilities of their own.</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 xml:space="preserve">For the past decade, our military campaigns primarily have consisted of operations </w:t>
        <w:br/>
        <w:t>against violent extremist networks. But today, and into the foreseeable future, we must pay greater attention to challenges posed by state actors. They increasingly have the capability to contest regional freedom of movement and threaten our homeland.</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And nation-states almost certainly will continue to perceive cyber attacks and other malicious cyber activity as an asymmetric, plausibly deniable option for pursuing national security and foreign policy objectives.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