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The Strategic Environment—The World as It Is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Anticipate and adapt to surprise, uncertainty, and chaos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 references coded [ 0.22%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These competitions require the United States to rethink the policies of the past two decades—policies based on the assumption that engagement with rivals and their inclusion in international institutions and global commerce would turn them into benign actors and trustworthy partners. For the most part, this premise turned out to be false.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competitions and rivalries facing the United States are not passing trends or momentary problems. They are intertwined, long-term challenges that demand our sustained national att ention and commitment.</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But to maintain these advantages, build upon our strengths, and unleash the talents of the American people, we must protect four vital national interests in this competitive world.</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