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ongoing shifts in relative power</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We will continue to monitor carefully China’s military developments and the implications those developments have on the military balance in the Taiwan Strait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In the absence of dominant U.S. power projection capabilities, the integrity of U.S. alliances and security partnerships could be called into question, reducing U.S. security and influence and increasing the possibility of conflict.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