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will monitor China’s military modernization program and prepare accordingly to ensure that U.S. interests and allies, regionally and globally, are not negatively affected.</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ongoing shifts in relative power</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We will continue to monitor carefully China’s military developments and the implications those developments have on the military balance in the Taiwan Strait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In the absence of dominant U.S. power projection capabilities, the integrity of U.S. alliances and security partnerships could be called into question, reducing U.S. security and influence and increasing the possibility of conflict.</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5 references coded [ 0.34%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will continue our contributions to the U.S. rebalance to the Asia-Pacific region, seeking to preserve peace and stability in a region that is increasingly central to U.S. political, economic, and security interests.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centerpiece of the Department of Defense commitment to the U.S. Government’s rebalance to the Asia-Pacific region continues to be our efforts to modernize and enhance our security alliances with Australia, Japan, the ROK, the Philippines, and Thailand.</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will continue efforts to help stabilize Central and Southwest Asia and deepen our engagement in the Indian Ocean region to bolster our rebalance to Asia</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Asia-Pacific. Supporting the broader U.S. rebalance to the region, the United States will maintain a robust footprint in Northeast Asia while enhancing our presence in Oceania, Southeast Asia, and the Indian Ocean. By 2020, 60 percent of U.S. Navy assets will be stationed in the Pacific, including enhancements to our critical naval presence in Japan.</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Under sequestration-level cuts, the United States would continue prioritizing efforts to sustain and complete our rebalance to the Asia-Pacific region, including our focus on ensuring strong relations with our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 references coded [ 0.60%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Since the last National Military Strategy was published in 2011, global disorder has significantly increased while some of our comparative military advantage has begun to erode.</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Therefore we will press forward with the rebalance to the AsiaPacific region, placing our most advanced capabilities and greater capacity in that vital theater.</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We are positioning forces where they are most needed, exemplified by our rebalance to the Asia-Pacific region as well as our evolving presence in Europe, the Middle East, Latin America, and Africa.</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