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North Korea accompanied their cyberattacks with coercion, intimidation, and the threat of terrorism.</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5 references coded [ 0.51%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On territorial disputes, particularly in Asia, we denounce coercion and assertive behaviors that threaten escalation</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America’s energy revival is not only good for growth, it offers new buffers against the coercive use of energy by some</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In many cases, our use of targeted sanctions and other coercive measures are meant not only to uphold international norms, but to deter severe threats to stability and order at the regional level.</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We will deter Russian aggression, remain alert to its strategic capabilities, and help our allies and partners resist Russian coercion over the long term, if necessary</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[ 0.18%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In response to North Korea’s destructive and coercive cyber attack in November 2014 – which was intended to harm a U.S. business and suppress free speech – the Administration announced new sanctions on certain North Korean actors.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4 references coded [ 0.24%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As a growing supplier of energy resources, technologies, and services around the world, the United States will help our allies and partners become more resilient against those that use energy to coerce.</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We will not allow adversaries to use threats of nuclear escalation or other irresponsible nuclear behaviors to coerce the United States, our allies, and our partners.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Economic tools—including sanctions, anti-money-laundering and anti-corruption measures, and enforcement actions—can be important parts of broader strategies to deter, coerce, and constrain adversaries.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 xml:space="preserve">We will maintain our strong ties with Taiwan in accordance with our “One China” policy, including our commitments under the </w:t>
        <w:br/>
        <w:t xml:space="preserve">47 </w:t>
        <w:br/>
        <w:t>Taiwan Relations Act to provide for Taiwan’s legitimate defense needs and deter coercion.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