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certain hostile acts conducted through cyberspace could compel actions under the commitments we have with our military treaty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[ 0.54%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