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Study\\CS1_Primary Sources_Policy_Strategies\\2011 International Strategy for Cyberspace - § 1 reference coded [ 0.10% Coverage]</w:t>
      </w:r>
    </w:p>
    <w:p>
      <w:pPr>
        <w:pStyle w:val="TextBody"/>
        <w:bidi w:val="0"/>
        <w:spacing w:before="113" w:after="113"/>
        <w:ind w:left="113" w:right="113" w:hanging="0"/>
        <w:jc w:val="left"/>
        <w:rPr>
          <w:highlight w:val="lightGray"/>
        </w:rPr>
      </w:pPr>
      <w:r>
        <w:rPr>
          <w:highlight w:val="lightGray"/>
        </w:rPr>
        <w:t>Reference 1 - 0.10% Coverage</w:t>
      </w:r>
    </w:p>
    <w:p>
      <w:pPr>
        <w:pStyle w:val="TextBody"/>
        <w:bidi w:val="0"/>
        <w:spacing w:before="0" w:after="0"/>
        <w:jc w:val="left"/>
        <w:rPr/>
      </w:pPr>
      <w:r>
        <w:rPr/>
        <w:t>certain hostile acts conducted through cyberspace could compel actions under the commitments we have with our military treaty partners~</w:t>
      </w:r>
    </w:p>
    <w:p>
      <w:pPr>
        <w:pStyle w:val="TextBody"/>
        <w:bidi w:val="0"/>
        <w:spacing w:before="113" w:after="113"/>
        <w:ind w:left="113" w:right="113" w:hanging="0"/>
        <w:jc w:val="left"/>
        <w:rPr>
          <w:highlight w:val="lightGray"/>
        </w:rPr>
      </w:pPr>
      <w:r>
        <w:rPr>
          <w:highlight w:val="lightGray"/>
        </w:rPr>
        <w:t>Files\\2015 Case Study\\CS2_Primary Sources_Policy_Strategies\\2015 National Military Strategy - § 2 references coded [ 0.54% Coverage]</w:t>
      </w:r>
    </w:p>
    <w:p>
      <w:pPr>
        <w:pStyle w:val="TextBody"/>
        <w:bidi w:val="0"/>
        <w:spacing w:before="113" w:after="113"/>
        <w:ind w:left="113" w:right="113" w:hanging="0"/>
        <w:jc w:val="left"/>
        <w:rPr>
          <w:highlight w:val="lightGray"/>
        </w:rPr>
      </w:pPr>
      <w:r>
        <w:rPr>
          <w:highlight w:val="lightGray"/>
        </w:rPr>
        <w:t>Reference 1 - 0.21% Coverage</w:t>
      </w:r>
    </w:p>
    <w:p>
      <w:pPr>
        <w:pStyle w:val="TextBody"/>
        <w:bidi w:val="0"/>
        <w:spacing w:before="0" w:after="0"/>
        <w:jc w:val="left"/>
        <w:rPr/>
      </w:pPr>
      <w:r>
        <w:rPr/>
        <w:t>In the event of an attack, the U.S. military will respond by inflicting damage of such magnitude as to compel the adversary to cease hostilities or render it incapable of further aggression.</w:t>
      </w:r>
    </w:p>
    <w:p>
      <w:pPr>
        <w:pStyle w:val="TextBody"/>
        <w:bidi w:val="0"/>
        <w:spacing w:before="113" w:after="113"/>
        <w:ind w:left="113" w:right="113" w:hanging="0"/>
        <w:jc w:val="left"/>
        <w:rPr>
          <w:highlight w:val="lightGray"/>
        </w:rPr>
      </w:pPr>
      <w:r>
        <w:rPr>
          <w:highlight w:val="lightGray"/>
        </w:rPr>
        <w:t>Reference 2 - 0.33% Coverage</w:t>
      </w:r>
    </w:p>
    <w:p>
      <w:pPr>
        <w:pStyle w:val="TextBody"/>
        <w:bidi w:val="0"/>
        <w:spacing w:before="0" w:after="0"/>
        <w:jc w:val="left"/>
        <w:rPr/>
      </w:pPr>
      <w:r>
        <w:rPr/>
        <w:t xml:space="preserve">In the event of an attack against the United States or one of its </w:t>
        <w:br/>
        <w:t>allies, the U.S. military along with allies and partners will project power across multiple domains to decisively defeat the adversary by compelling it to cease hostilities or render its military incapable of further aggression.</w:t>
      </w:r>
    </w:p>
    <w:p>
      <w:pPr>
        <w:pStyle w:val="TextBody"/>
        <w:bidi w:val="0"/>
        <w:spacing w:before="113" w:after="113"/>
        <w:ind w:left="113" w:right="113" w:hanging="0"/>
        <w:jc w:val="left"/>
        <w:rPr>
          <w:highlight w:val="lightGray"/>
        </w:rPr>
      </w:pPr>
      <w:r>
        <w:rPr>
          <w:highlight w:val="lightGray"/>
        </w:rPr>
        <w:t>Files\\2018 Case Study\\CS3_Primary Sources_Policy_Strategies\\2017 National Security Strategy - § 1 reference coded [ 0.05%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We remain ready to respond with overwhelming force to North Korean aggression and will improve options to compel denuclearization of the peninsula.</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